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ascii="Arial" w:hAnsi="Arial" w:eastAsia="Times New Roman" w:cs="Arial"/>
          <w:b/>
          <w:sz w:val="20"/>
          <w:szCs w:val="20"/>
        </w:rPr>
      </w:pPr>
    </w:p>
    <w:p>
      <w:pPr>
        <w:spacing w:after="0" w:line="240" w:lineRule="auto"/>
        <w:jc w:val="center"/>
        <w:rPr>
          <w:rFonts w:ascii="Arial" w:hAnsi="Arial" w:eastAsia="Times New Roman" w:cs="Arial"/>
          <w:b/>
          <w:sz w:val="20"/>
          <w:szCs w:val="20"/>
        </w:rPr>
      </w:pPr>
      <w:r>
        <w:rPr>
          <w:rFonts w:ascii="Arial" w:hAnsi="Arial" w:eastAsia="Times New Roman" w:cs="Arial"/>
          <w:b/>
          <w:sz w:val="20"/>
          <w:szCs w:val="20"/>
        </w:rPr>
        <w:t xml:space="preserve">Р О С </w:t>
      </w:r>
      <w:r>
        <w:rPr>
          <w:rFonts w:ascii="Arial" w:hAnsi="Arial" w:eastAsia="Times New Roman" w:cs="Arial"/>
          <w:b/>
          <w:sz w:val="20"/>
          <w:szCs w:val="20"/>
        </w:rPr>
        <w:t xml:space="preserve">С</w:t>
      </w:r>
      <w:r>
        <w:rPr>
          <w:rFonts w:ascii="Arial" w:hAnsi="Arial" w:eastAsia="Times New Roman" w:cs="Arial"/>
          <w:b/>
          <w:sz w:val="20"/>
          <w:szCs w:val="20"/>
        </w:rPr>
        <w:t xml:space="preserve"> И Й С К А Я   Ф Е Д Е Р А Ц И Я</w:t>
      </w:r>
    </w:p>
    <w:p>
      <w:pPr>
        <w:spacing w:after="0" w:line="240" w:lineRule="auto"/>
        <w:jc w:val="center"/>
        <w:rPr>
          <w:rFonts w:ascii="Arial" w:hAnsi="Arial" w:eastAsia="Times New Roman" w:cs="Arial"/>
          <w:b/>
          <w:sz w:val="20"/>
          <w:szCs w:val="20"/>
        </w:rPr>
      </w:pPr>
      <w:r>
        <w:rPr>
          <w:rFonts w:ascii="Arial" w:hAnsi="Arial" w:eastAsia="Times New Roman" w:cs="Arial"/>
          <w:b/>
          <w:sz w:val="20"/>
          <w:szCs w:val="20"/>
        </w:rPr>
        <w:t xml:space="preserve">Б Е Л Г О Р О Д С К А Я   О Б Л А С Т Ь</w:t>
      </w:r>
    </w:p>
    <w:p>
      <w:pPr>
        <w:spacing w:after="0" w:line="240" w:lineRule="auto"/>
        <w:jc w:val="center"/>
        <w:rPr>
          <w:rFonts w:ascii="Arial Narrow" w:hAnsi="Arial Narrow" w:eastAsia="Times New Roman" w:cs="Arial Narrow"/>
          <w:b/>
          <w:bCs/>
          <w:sz w:val="40"/>
          <w:szCs w:val="40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04825" cy="609600"/>
                <wp:effectExtent l="0" t="0" r="0" b="0"/>
                <wp:docPr id="1" name="_x005F_x0000_i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_x005F_x0000_i0"/>
                        <pic:cNvPicPr>
                          <a:picLocks noChangeAspect="1" noChangeArrowheads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04825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9.75pt;height:48.00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</w:p>
    <w:p>
      <w:pPr>
        <w:keepNext/>
        <w:spacing w:after="0" w:line="240" w:lineRule="auto"/>
        <w:jc w:val="center"/>
        <w:outlineLvl w:val="0"/>
        <w:rPr>
          <w:rFonts w:ascii="Arial Narrow" w:hAnsi="Arial Narrow" w:eastAsia="Times New Roman" w:cs="Arial Narrow"/>
          <w:b/>
          <w:bCs/>
          <w:sz w:val="40"/>
          <w:szCs w:val="40"/>
        </w:rPr>
      </w:pPr>
      <w:r>
        <w:rPr>
          <w:rFonts w:ascii="Arial Narrow" w:hAnsi="Arial Narrow" w:eastAsia="Times New Roman" w:cs="Arial Narrow"/>
          <w:b/>
          <w:bCs/>
          <w:sz w:val="40"/>
          <w:szCs w:val="40"/>
        </w:rPr>
        <w:t xml:space="preserve">АДМИНИСТРАЦИЯ МУНИЦИПАЛЬНОГО РАЙОНА</w:t>
      </w:r>
    </w:p>
    <w:p>
      <w:pPr>
        <w:keepNext/>
        <w:spacing w:after="0" w:line="240" w:lineRule="auto"/>
        <w:jc w:val="center"/>
        <w:outlineLvl w:val="0"/>
        <w:rPr>
          <w:rFonts w:ascii="Arial" w:hAnsi="Arial" w:eastAsia="Times New Roman" w:cs="Arial"/>
          <w:b/>
          <w:bCs/>
          <w:sz w:val="32"/>
          <w:szCs w:val="32"/>
        </w:rPr>
      </w:pPr>
      <w:r>
        <w:rPr>
          <w:rFonts w:ascii="Arial Narrow" w:hAnsi="Arial Narrow" w:eastAsia="Times New Roman" w:cs="Arial Narrow"/>
          <w:b/>
          <w:bCs/>
          <w:sz w:val="40"/>
          <w:szCs w:val="40"/>
        </w:rPr>
        <w:t xml:space="preserve">«ИВНЯНСКИЙ РАЙОН»</w:t>
      </w:r>
    </w:p>
    <w:p>
      <w:pPr>
        <w:keepNext/>
        <w:spacing w:after="0" w:line="240" w:lineRule="auto"/>
        <w:jc w:val="center"/>
        <w:outlineLvl w:val="0"/>
        <w:rPr>
          <w:rFonts w:ascii="Arial" w:hAnsi="Arial" w:eastAsia="Times New Roman" w:cs="Arial"/>
          <w:b/>
          <w:sz w:val="17"/>
          <w:szCs w:val="17"/>
        </w:rPr>
      </w:pPr>
      <w:r>
        <w:rPr>
          <w:rFonts w:ascii="Arial" w:hAnsi="Arial" w:eastAsia="Times New Roman" w:cs="Arial"/>
          <w:b/>
          <w:bCs/>
          <w:sz w:val="32"/>
          <w:szCs w:val="32"/>
        </w:rPr>
        <w:t xml:space="preserve">П О С Т А Н О В Л Е Н И Е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  <w:r>
        <w:rPr>
          <w:rFonts w:ascii="Arial" w:hAnsi="Arial" w:eastAsia="Times New Roman" w:cs="Arial"/>
          <w:b/>
          <w:sz w:val="17"/>
          <w:szCs w:val="17"/>
        </w:rPr>
        <w:t xml:space="preserve">Пос</w:t>
      </w:r>
      <w:r>
        <w:rPr>
          <w:rFonts w:ascii="Arial" w:hAnsi="Arial" w:eastAsia="Times New Roman" w:cs="Arial"/>
          <w:b/>
          <w:sz w:val="17"/>
          <w:szCs w:val="17"/>
        </w:rPr>
        <w:t xml:space="preserve">е</w:t>
      </w:r>
      <w:r>
        <w:rPr>
          <w:rFonts w:ascii="Arial" w:hAnsi="Arial" w:eastAsia="Times New Roman" w:cs="Arial"/>
          <w:b/>
          <w:sz w:val="17"/>
          <w:szCs w:val="17"/>
        </w:rPr>
        <w:t xml:space="preserve">лок Ивня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8"/>
          <w:szCs w:val="28"/>
        </w:rPr>
      </w:pPr>
    </w:p>
    <w:tbl>
      <w:tblPr>
        <w:tblW w:w="9601" w:type="dxa"/>
        <w:tblLayout w:type="fixed"/>
        <w:tblLook w:val="04A0" w:firstRow="1" w:lastRow="0" w:firstColumn="1" w:lastColumn="0" w:noHBand="0" w:noVBand="1"/>
      </w:tblPr>
      <w:tblGrid>
        <w:gridCol w:w="3924"/>
        <w:gridCol w:w="473"/>
        <w:gridCol w:w="2364"/>
        <w:gridCol w:w="2840"/>
      </w:tblGrid>
      <w:tr>
        <w:trPr>
          <w:trHeight w:val="321"/>
        </w:trPr>
        <w:tc>
          <w:tcPr>
            <w:tcW w:w="3924" w:type="dxa"/>
          </w:tcPr>
          <w:p>
            <w:pPr>
              <w:widowControl w:val="off"/>
              <w:spacing w:after="0" w:line="240" w:lineRule="auto"/>
              <w:jc w:val="both"/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___________________ 2024 г.</w:t>
            </w:r>
          </w:p>
        </w:tc>
        <w:tc>
          <w:tcPr>
            <w:tcW w:w="2837" w:type="dxa"/>
            <w:gridSpan w:val="2"/>
          </w:tcPr>
          <w:p>
            <w:pPr>
              <w:widowControl w:val="off"/>
              <w:spacing w:after="0" w:line="240" w:lineRule="auto"/>
              <w:jc w:val="center"/>
              <w:rPr>
                <w:rFonts w:ascii="Times New Roman" w:hAnsi="Times New Roman" w:eastAsia="Times New Roman"/>
                <w:sz w:val="18"/>
                <w:szCs w:val="18"/>
              </w:rPr>
            </w:pPr>
          </w:p>
        </w:tc>
        <w:tc>
          <w:tcPr>
            <w:tcW w:w="2840" w:type="dxa"/>
          </w:tcPr>
          <w:p>
            <w:pPr>
              <w:widowControl w:val="off"/>
              <w:spacing w:after="0" w:line="240" w:lineRule="auto"/>
              <w:jc w:val="center"/>
            </w:pPr>
            <w:r>
              <w:rPr>
                <w:rFonts w:ascii="Times New Roman" w:hAnsi="Times New Roman" w:eastAsia="Times New Roman"/>
                <w:sz w:val="18"/>
                <w:szCs w:val="18"/>
              </w:rPr>
              <w:t xml:space="preserve">№ _____</w:t>
            </w:r>
          </w:p>
        </w:tc>
      </w:tr>
      <w:tr>
        <w:trPr>
          <w:gridAfter w:val="2"/>
          <w:trHeight w:val="1834"/>
        </w:trPr>
        <w:tc>
          <w:tcPr>
            <w:tcW w:w="4397" w:type="dxa"/>
            <w:gridSpan w:val="2"/>
          </w:tcPr>
          <w:p>
            <w:pPr>
              <w:widowControl w:val="off"/>
              <w:tabs>
                <w:tab w:val="left" w:pos="4125"/>
              </w:tabs>
              <w:spacing w:after="0" w:line="240" w:lineRule="auto"/>
              <w:ind w:right="33"/>
              <w:jc w:val="both"/>
              <w:rPr>
                <w:rFonts w:ascii="Times New Roman" w:hAnsi="Times New Roman" w:eastAsia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О внесении изменений                          в постановление администрации муниципального района «Ивнянский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район»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br/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от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26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дека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бря 2024 года № 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4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9</w:t>
            </w:r>
            <w:r>
              <w:rPr>
                <w:rFonts w:ascii="Times New Roman" w:hAnsi="Times New Roman" w:eastAsia="Times New Roman"/>
                <w:b/>
                <w:sz w:val="27"/>
                <w:szCs w:val="27"/>
              </w:rPr>
              <w:t xml:space="preserve">3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/>
          <w:sz w:val="16"/>
          <w:szCs w:val="16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sz w:val="16"/>
          <w:szCs w:val="16"/>
        </w:rPr>
      </w:pPr>
    </w:p>
    <w:p>
      <w:pPr>
        <w:spacing w:after="0" w:line="240" w:lineRule="auto"/>
        <w:ind w:firstLine="851"/>
        <w:jc w:val="both"/>
        <w:rPr>
          <w:rFonts w:ascii="Times New Roman" w:hAnsi="Times New Roman" w:eastAsia="Times New Roman"/>
          <w:color w:val="000000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 соответствии со статьей 179 Бюджетного кодекса Российской Федерации, статьей 39 Федерального закона от 28 июня 2014 года № 172-ФЗ «О стратегическом планировании в Российской Федерации»,</w:t>
      </w:r>
      <w:r>
        <w:t xml:space="preserve"> </w:t>
      </w:r>
      <w:r>
        <w:rPr>
          <w:rFonts w:ascii="Times New Roman" w:hAnsi="Times New Roman"/>
          <w:color w:val="000000" w:themeColor="text1"/>
          <w:sz w:val="27"/>
          <w:szCs w:val="27"/>
        </w:rPr>
        <w:t xml:space="preserve">решением Совета депутатов Ивнянского муниципального округа</w:t>
      </w:r>
      <w:r>
        <w:rPr>
          <w:rFonts w:ascii="Times New Roman" w:hAnsi="Times New Roman"/>
          <w:sz w:val="27"/>
          <w:szCs w:val="27"/>
        </w:rPr>
        <w:t xml:space="preserve"> от 25 ноября 2025 года № 4/73 «О внесении изменений </w:t>
      </w:r>
      <w:r>
        <w:rPr>
          <w:rFonts w:ascii="Times New Roman" w:hAnsi="Times New Roman"/>
          <w:sz w:val="27"/>
          <w:szCs w:val="27"/>
        </w:rPr>
        <w:br/>
      </w:r>
      <w:r>
        <w:rPr>
          <w:rFonts w:ascii="Times New Roman" w:hAnsi="Times New Roman"/>
          <w:sz w:val="27"/>
          <w:szCs w:val="27"/>
        </w:rPr>
        <w:t xml:space="preserve">в решение Муниципального совета Ивнянского района от 24 декабря 2024 года </w:t>
      </w:r>
      <w:r>
        <w:rPr>
          <w:rFonts w:ascii="Times New Roman" w:hAnsi="Times New Roman"/>
          <w:sz w:val="27"/>
          <w:szCs w:val="27"/>
        </w:rPr>
        <w:br/>
      </w:r>
      <w:r>
        <w:rPr>
          <w:rFonts w:ascii="Times New Roman" w:hAnsi="Times New Roman"/>
          <w:sz w:val="27"/>
          <w:szCs w:val="27"/>
        </w:rPr>
        <w:t xml:space="preserve">№ 17/179 «О бюджете муниципального района «Ивнянский район» на 2025 год </w:t>
      </w:r>
      <w:r>
        <w:rPr>
          <w:rFonts w:ascii="Times New Roman" w:hAnsi="Times New Roman"/>
          <w:sz w:val="27"/>
          <w:szCs w:val="27"/>
        </w:rPr>
        <w:br/>
      </w:r>
      <w:r>
        <w:rPr>
          <w:rFonts w:ascii="Times New Roman" w:hAnsi="Times New Roman"/>
          <w:sz w:val="27"/>
          <w:szCs w:val="27"/>
        </w:rPr>
        <w:t xml:space="preserve">и плановый период 2026 и 2027 годов», постановлением администрации муниципального района «Ивнянский район» от 9 сентября 2024 года № 329 </w:t>
      </w:r>
      <w:r>
        <w:rPr>
          <w:rFonts w:ascii="Times New Roman" w:hAnsi="Times New Roman"/>
          <w:sz w:val="27"/>
          <w:szCs w:val="27"/>
        </w:rPr>
        <w:br/>
      </w:r>
      <w:r>
        <w:rPr>
          <w:rFonts w:ascii="Times New Roman" w:hAnsi="Times New Roman"/>
          <w:sz w:val="27"/>
          <w:szCs w:val="27"/>
        </w:rPr>
        <w:t xml:space="preserve">«Об утверждении Методических рекомендаций </w:t>
      </w:r>
      <w:r>
        <w:rPr>
          <w:rFonts w:ascii="Times New Roman" w:hAnsi="Times New Roman"/>
          <w:sz w:val="27"/>
          <w:szCs w:val="27"/>
        </w:rPr>
        <w:t xml:space="preserve">п</w:t>
      </w:r>
      <w:r>
        <w:rPr>
          <w:rFonts w:ascii="Times New Roman" w:hAnsi="Times New Roman"/>
          <w:sz w:val="27"/>
          <w:szCs w:val="27"/>
        </w:rPr>
        <w:t xml:space="preserve">о разработке и реализации муниципальных  программ Ивнянского района Белгородской области», в целях  повышения  эффективности реализации программы «</w:t>
      </w:r>
      <w:bookmarkStart w:id="0" w:name="_Hlk216790446"/>
      <w:r>
        <w:rPr>
          <w:rFonts w:ascii="Times New Roman" w:hAnsi="Times New Roman"/>
          <w:color w:val="000000"/>
          <w:sz w:val="27"/>
          <w:szCs w:val="27"/>
        </w:rPr>
        <w:t xml:space="preserve">Развитие молодежной политики на территории Ивнянского района</w:t>
      </w:r>
      <w:bookmarkEnd w:id="0"/>
      <w:r>
        <w:rPr>
          <w:rFonts w:ascii="Times New Roman" w:hAnsi="Times New Roman"/>
          <w:sz w:val="27"/>
          <w:szCs w:val="27"/>
        </w:rPr>
        <w:t xml:space="preserve">» администрация Ивнянского района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 w:eastAsia="Times New Roman"/>
          <w:color w:val="000000"/>
          <w:sz w:val="27"/>
          <w:szCs w:val="27"/>
        </w:rPr>
        <w:br/>
      </w:r>
      <w:r>
        <w:rPr>
          <w:rFonts w:ascii="Times New Roman" w:hAnsi="Times New Roman" w:eastAsia="Times New Roman"/>
          <w:b/>
          <w:bCs/>
          <w:color w:val="000000"/>
          <w:sz w:val="27"/>
          <w:szCs w:val="27"/>
        </w:rPr>
        <w:t xml:space="preserve">п о с т а н о в л я е т:</w:t>
      </w:r>
    </w:p>
    <w:p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1.</w:t>
      </w:r>
      <w:r>
        <w:rPr>
          <w:rFonts w:ascii="Times New Roman" w:hAnsi="Times New Roman"/>
          <w:color w:val="000000"/>
          <w:sz w:val="27"/>
          <w:szCs w:val="27"/>
        </w:rPr>
        <w:t xml:space="preserve"> </w:t>
      </w:r>
      <w:r>
        <w:rPr>
          <w:rFonts w:ascii="Times New Roman" w:hAnsi="Times New Roman"/>
          <w:color w:val="000000"/>
          <w:sz w:val="27"/>
          <w:szCs w:val="27"/>
        </w:rPr>
        <w:t xml:space="preserve">Внести в постановление администрации муниципального района «Ивнянский район» от </w:t>
      </w:r>
      <w:r>
        <w:rPr>
          <w:rFonts w:ascii="Times New Roman" w:hAnsi="Times New Roman"/>
          <w:color w:val="000000"/>
          <w:sz w:val="27"/>
          <w:szCs w:val="27"/>
        </w:rPr>
        <w:t xml:space="preserve">26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дека</w:t>
      </w:r>
      <w:r>
        <w:rPr>
          <w:rFonts w:ascii="Times New Roman" w:hAnsi="Times New Roman"/>
          <w:color w:val="000000"/>
          <w:sz w:val="27"/>
          <w:szCs w:val="27"/>
        </w:rPr>
        <w:t xml:space="preserve">бря 2024 года № </w:t>
      </w:r>
      <w:r>
        <w:rPr>
          <w:rFonts w:ascii="Times New Roman" w:hAnsi="Times New Roman"/>
          <w:color w:val="000000"/>
          <w:sz w:val="27"/>
          <w:szCs w:val="27"/>
        </w:rPr>
        <w:t xml:space="preserve">4</w:t>
      </w:r>
      <w:r>
        <w:rPr>
          <w:rFonts w:ascii="Times New Roman" w:hAnsi="Times New Roman"/>
          <w:color w:val="000000"/>
          <w:sz w:val="27"/>
          <w:szCs w:val="27"/>
        </w:rPr>
        <w:t xml:space="preserve">9</w:t>
      </w:r>
      <w:r>
        <w:rPr>
          <w:rFonts w:ascii="Times New Roman" w:hAnsi="Times New Roman"/>
          <w:color w:val="000000"/>
          <w:sz w:val="27"/>
          <w:szCs w:val="27"/>
        </w:rPr>
        <w:t xml:space="preserve">3</w:t>
      </w:r>
      <w:r>
        <w:rPr>
          <w:rFonts w:ascii="Times New Roman" w:hAnsi="Times New Roman"/>
          <w:color w:val="000000"/>
          <w:sz w:val="27"/>
          <w:szCs w:val="27"/>
        </w:rPr>
        <w:t xml:space="preserve"> «</w:t>
      </w:r>
      <w:r>
        <w:rPr>
          <w:rFonts w:ascii="Times New Roman" w:hAnsi="Times New Roman"/>
          <w:color w:val="000000"/>
          <w:sz w:val="27"/>
          <w:szCs w:val="27"/>
        </w:rPr>
        <w:t xml:space="preserve">Развитие молодежной политики на территории Ивнянского района</w:t>
      </w:r>
      <w:r>
        <w:rPr>
          <w:rFonts w:ascii="Times New Roman" w:hAnsi="Times New Roman"/>
          <w:sz w:val="27"/>
          <w:szCs w:val="27"/>
        </w:rPr>
        <w:t xml:space="preserve">» администрация Ивнянского района</w:t>
      </w:r>
      <w:r>
        <w:rPr>
          <w:rFonts w:ascii="Times New Roman" w:hAnsi="Times New Roman"/>
          <w:color w:val="000000"/>
          <w:sz w:val="27"/>
          <w:szCs w:val="27"/>
        </w:rPr>
        <w:t xml:space="preserve">» следующие изменения:</w:t>
      </w:r>
    </w:p>
    <w:p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в</w:t>
      </w:r>
      <w:r>
        <w:rPr>
          <w:rFonts w:ascii="Times New Roman" w:hAnsi="Times New Roman"/>
          <w:color w:val="000000"/>
          <w:sz w:val="27"/>
          <w:szCs w:val="27"/>
        </w:rPr>
        <w:t xml:space="preserve"> муниципальн</w:t>
      </w:r>
      <w:r>
        <w:rPr>
          <w:rFonts w:ascii="Times New Roman" w:hAnsi="Times New Roman"/>
          <w:color w:val="000000"/>
          <w:sz w:val="27"/>
          <w:szCs w:val="27"/>
        </w:rPr>
        <w:t xml:space="preserve">ой</w:t>
      </w:r>
      <w:r>
        <w:rPr>
          <w:rFonts w:ascii="Times New Roman" w:hAnsi="Times New Roman"/>
          <w:color w:val="000000"/>
          <w:sz w:val="27"/>
          <w:szCs w:val="27"/>
        </w:rPr>
        <w:t xml:space="preserve"> программ</w:t>
      </w:r>
      <w:r>
        <w:rPr>
          <w:rFonts w:ascii="Times New Roman" w:hAnsi="Times New Roman"/>
          <w:color w:val="000000"/>
          <w:sz w:val="27"/>
          <w:szCs w:val="27"/>
        </w:rPr>
        <w:t xml:space="preserve">е</w:t>
      </w:r>
      <w:r>
        <w:rPr>
          <w:rFonts w:ascii="Times New Roman" w:hAnsi="Times New Roman"/>
          <w:color w:val="000000"/>
          <w:sz w:val="27"/>
          <w:szCs w:val="27"/>
        </w:rPr>
        <w:t xml:space="preserve"> Ивнянского района «Развитие молодежной политики на территории Ивнянского района», утвержденную в пункте 1 названного постановления</w:t>
      </w:r>
      <w:r>
        <w:rPr>
          <w:rFonts w:ascii="Times New Roman" w:hAnsi="Times New Roman"/>
          <w:color w:val="000000"/>
          <w:sz w:val="27"/>
          <w:szCs w:val="27"/>
        </w:rPr>
        <w:t xml:space="preserve"> изложить: паспорт </w:t>
      </w:r>
      <w:r>
        <w:rPr>
          <w:rFonts w:ascii="Times New Roman" w:hAnsi="Times New Roman"/>
          <w:color w:val="000000"/>
          <w:sz w:val="27"/>
          <w:szCs w:val="27"/>
        </w:rPr>
        <w:t xml:space="preserve">муниципальной программы «Развитие молодежной политики на территории Ивнянского района»</w:t>
      </w:r>
      <w:r>
        <w:rPr>
          <w:rFonts w:ascii="Times New Roman" w:hAnsi="Times New Roman"/>
          <w:color w:val="000000"/>
          <w:sz w:val="27"/>
          <w:szCs w:val="27"/>
        </w:rPr>
        <w:t xml:space="preserve">, паспорт </w:t>
      </w:r>
      <w:r>
        <w:rPr>
          <w:rFonts w:ascii="Times New Roman" w:hAnsi="Times New Roman"/>
          <w:color w:val="000000"/>
          <w:sz w:val="27"/>
          <w:szCs w:val="27"/>
        </w:rPr>
        <w:t xml:space="preserve">муниципального проекта, входящего в национальный проект «Патриотическое воспитание граждан Российской федерации»</w:t>
      </w:r>
      <w:r>
        <w:rPr>
          <w:rFonts w:ascii="Times New Roman" w:hAnsi="Times New Roman"/>
          <w:color w:val="000000"/>
          <w:sz w:val="27"/>
          <w:szCs w:val="27"/>
        </w:rPr>
        <w:t xml:space="preserve">, паспорт </w:t>
      </w:r>
      <w:r>
        <w:rPr>
          <w:rFonts w:ascii="Times New Roman" w:hAnsi="Times New Roman"/>
          <w:color w:val="000000"/>
          <w:sz w:val="27"/>
          <w:szCs w:val="27"/>
        </w:rPr>
        <w:t xml:space="preserve">комплекса процессных мероприятий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«Создание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</w:r>
      <w:r>
        <w:rPr>
          <w:rFonts w:ascii="Times New Roman" w:hAnsi="Times New Roman"/>
          <w:color w:val="000000"/>
          <w:sz w:val="27"/>
          <w:szCs w:val="27"/>
        </w:rPr>
        <w:t xml:space="preserve">, паспорт </w:t>
      </w:r>
      <w:r>
        <w:rPr>
          <w:rFonts w:ascii="Times New Roman" w:hAnsi="Times New Roman"/>
          <w:color w:val="000000"/>
          <w:sz w:val="27"/>
          <w:szCs w:val="27"/>
        </w:rPr>
        <w:t xml:space="preserve">комплекса процессных мероприятий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«Гражданское </w:t>
      </w:r>
      <w:r>
        <w:rPr>
          <w:rFonts w:ascii="Times New Roman" w:hAnsi="Times New Roman"/>
          <w:color w:val="000000"/>
          <w:sz w:val="27"/>
          <w:szCs w:val="27"/>
        </w:rPr>
        <w:br/>
      </w:r>
      <w:r>
        <w:rPr>
          <w:rFonts w:ascii="Times New Roman" w:hAnsi="Times New Roman"/>
          <w:color w:val="000000"/>
          <w:sz w:val="27"/>
          <w:szCs w:val="27"/>
        </w:rPr>
        <w:t xml:space="preserve">и патриотическое воспитание молодежи Ивнянского района»</w:t>
      </w:r>
      <w:r>
        <w:rPr>
          <w:rFonts w:ascii="Times New Roman" w:hAnsi="Times New Roman"/>
          <w:color w:val="000000"/>
          <w:sz w:val="27"/>
          <w:szCs w:val="27"/>
        </w:rPr>
        <w:t xml:space="preserve">, паспорт </w:t>
      </w:r>
      <w:r>
        <w:rPr>
          <w:rFonts w:ascii="Times New Roman" w:hAnsi="Times New Roman"/>
          <w:color w:val="000000"/>
          <w:sz w:val="27"/>
          <w:szCs w:val="27"/>
        </w:rPr>
        <w:t xml:space="preserve">комплекса </w:t>
      </w:r>
      <w:r>
        <w:rPr>
          <w:rFonts w:ascii="Times New Roman" w:hAnsi="Times New Roman"/>
          <w:color w:val="000000"/>
          <w:sz w:val="27"/>
          <w:szCs w:val="27"/>
        </w:rPr>
        <w:t xml:space="preserve">процессных мероприятий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«Совершенствование и развитие добровольческой (волонтерской) деятельности на территории Ивнянского района»</w:t>
      </w:r>
      <w:r>
        <w:rPr>
          <w:rFonts w:ascii="Times New Roman" w:hAnsi="Times New Roman"/>
          <w:color w:val="000000"/>
          <w:sz w:val="27"/>
          <w:szCs w:val="27"/>
        </w:rPr>
        <w:t xml:space="preserve">, паспорт </w:t>
      </w:r>
      <w:r>
        <w:rPr>
          <w:rFonts w:ascii="Times New Roman" w:hAnsi="Times New Roman"/>
          <w:color w:val="000000"/>
          <w:sz w:val="27"/>
          <w:szCs w:val="27"/>
        </w:rPr>
        <w:t xml:space="preserve">комплекса процессных мероприятий</w:t>
      </w:r>
      <w:r>
        <w:rPr>
          <w:rFonts w:ascii="Times New Roman" w:hAnsi="Times New Roman"/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«Обеспечение деятельности МКУ «</w:t>
      </w:r>
      <w:r>
        <w:rPr>
          <w:rFonts w:ascii="Times New Roman" w:hAnsi="Times New Roman"/>
          <w:color w:val="000000"/>
          <w:sz w:val="27"/>
          <w:szCs w:val="27"/>
        </w:rPr>
        <w:t xml:space="preserve">УМПТиС</w:t>
      </w:r>
      <w:r>
        <w:rPr>
          <w:rFonts w:ascii="Times New Roman" w:hAnsi="Times New Roman"/>
          <w:color w:val="000000"/>
          <w:sz w:val="27"/>
          <w:szCs w:val="27"/>
        </w:rPr>
        <w:t xml:space="preserve">» Ивнянского района»</w:t>
      </w:r>
      <w:r>
        <w:rPr>
          <w:rFonts w:ascii="Times New Roman" w:hAnsi="Times New Roman"/>
          <w:color w:val="000000"/>
          <w:sz w:val="27"/>
          <w:szCs w:val="27"/>
        </w:rPr>
        <w:t xml:space="preserve"> в новой редакции.</w:t>
      </w:r>
    </w:p>
    <w:p>
      <w:pPr>
        <w:spacing w:after="0" w:line="240" w:lineRule="auto"/>
        <w:ind w:firstLine="851"/>
        <w:jc w:val="both"/>
        <w:rPr>
          <w:rFonts w:ascii="Times New Roman" w:hAnsi="Times New Roman" w:eastAsia="Times New Roman"/>
          <w:color w:val="000000"/>
          <w:sz w:val="27"/>
          <w:szCs w:val="27"/>
        </w:rPr>
      </w:pP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3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.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 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Информационно-техническому отделу аппарата главы администрации Ивнянского района (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Куровицкий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 А.В.)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 обеспечить размещение постановления </w:t>
      </w:r>
      <w:r>
        <w:rPr>
          <w:rFonts w:ascii="Times New Roman" w:hAnsi="Times New Roman" w:eastAsia="Times New Roman"/>
          <w:color w:val="000000"/>
          <w:sz w:val="27"/>
          <w:szCs w:val="27"/>
        </w:rPr>
        <w:br/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на официальном сайте администрации Ивнянского района.</w:t>
      </w:r>
    </w:p>
    <w:p>
      <w:pPr>
        <w:spacing w:after="0" w:line="240" w:lineRule="auto"/>
        <w:ind w:firstLine="851"/>
        <w:jc w:val="both"/>
        <w:rPr>
          <w:rFonts w:ascii="Times New Roman" w:hAnsi="Times New Roman" w:eastAsia="Times New Roman"/>
          <w:color w:val="000000"/>
          <w:sz w:val="27"/>
          <w:szCs w:val="27"/>
        </w:rPr>
      </w:pP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4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.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 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Контроль за исполнением постановления возложить на заместителя главы администрации Ивнянского района 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по социально-культурному развитию Абраменко 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Т.В.</w:t>
      </w:r>
    </w:p>
    <w:p>
      <w:pPr>
        <w:spacing w:after="0" w:line="240" w:lineRule="auto"/>
        <w:ind w:firstLine="851"/>
        <w:jc w:val="both"/>
        <w:rPr>
          <w:rFonts w:ascii="Times New Roman" w:hAnsi="Times New Roman" w:eastAsia="Times New Roman"/>
          <w:color w:val="000000"/>
          <w:sz w:val="27"/>
          <w:szCs w:val="27"/>
        </w:rPr>
      </w:pP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5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. </w:t>
      </w:r>
      <w:r>
        <w:rPr>
          <w:rFonts w:ascii="Times New Roman" w:hAnsi="Times New Roman" w:eastAsia="Times New Roman"/>
          <w:color w:val="000000"/>
          <w:sz w:val="27"/>
          <w:szCs w:val="27"/>
        </w:rPr>
        <w:t xml:space="preserve">Настоящее постановление вступает в силу с 1 января 2025 года. </w:t>
      </w:r>
    </w:p>
    <w:p>
      <w:pPr>
        <w:spacing w:after="0" w:line="240" w:lineRule="auto"/>
        <w:jc w:val="both"/>
        <w:rPr>
          <w:rFonts w:ascii="Times New Roman" w:hAnsi="Times New Roman" w:eastAsia="Times New Roman"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/>
          <w:color w:val="000000"/>
          <w:sz w:val="27"/>
          <w:szCs w:val="27"/>
        </w:rPr>
      </w:pPr>
    </w:p>
    <w:p>
      <w:pPr>
        <w:spacing w:after="0" w:line="240" w:lineRule="auto"/>
        <w:ind w:firstLine="993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 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Председатель</w:t>
      </w:r>
    </w:p>
    <w:p>
      <w:pPr>
        <w:spacing w:after="0" w:line="240" w:lineRule="auto"/>
        <w:ind w:firstLine="284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ликвидационной комиссии</w:t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по ликвидации администрации</w:t>
      </w:r>
    </w:p>
    <w:p>
      <w:pPr>
        <w:spacing w:after="0" w:line="240" w:lineRule="auto"/>
        <w:ind w:firstLine="426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муниципального района</w:t>
      </w:r>
    </w:p>
    <w:p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 xml:space="preserve">«Ивнянский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район»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               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 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       Л.А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. 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Родионова</w:t>
      </w: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b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</w:p>
    <w:p>
      <w:p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</w:p>
    <w:p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>
      <w:pPr>
        <w:spacing w:after="0" w:line="240" w:lineRule="auto"/>
        <w:ind w:left="552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Приложение</w:t>
      </w:r>
    </w:p>
    <w:p>
      <w:pPr>
        <w:spacing w:after="0" w:line="240" w:lineRule="auto"/>
        <w:ind w:left="5529"/>
        <w:jc w:val="center"/>
        <w:rPr>
          <w:rFonts w:ascii="Times New Roman" w:hAnsi="Times New Roman"/>
          <w:b/>
          <w:sz w:val="26"/>
          <w:szCs w:val="26"/>
        </w:rPr>
      </w:pPr>
    </w:p>
    <w:p>
      <w:pPr>
        <w:spacing w:after="0" w:line="240" w:lineRule="auto"/>
        <w:ind w:left="552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УТВЕРЖДЕНА</w:t>
      </w:r>
    </w:p>
    <w:p>
      <w:pPr>
        <w:spacing w:after="0" w:line="240" w:lineRule="auto"/>
        <w:ind w:left="552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постановлением администрации</w:t>
      </w:r>
    </w:p>
    <w:p>
      <w:pPr>
        <w:spacing w:after="0" w:line="240" w:lineRule="auto"/>
        <w:ind w:left="552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Ивнянского района</w:t>
      </w:r>
    </w:p>
    <w:p>
      <w:pPr>
        <w:spacing w:after="0" w:line="240" w:lineRule="auto"/>
        <w:ind w:left="5529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«__</w:t>
      </w:r>
      <w:r>
        <w:rPr>
          <w:rFonts w:ascii="Times New Roman" w:hAnsi="Times New Roman"/>
          <w:b/>
          <w:sz w:val="26"/>
          <w:szCs w:val="26"/>
        </w:rPr>
        <w:t xml:space="preserve">_»_</w:t>
      </w:r>
      <w:r>
        <w:rPr>
          <w:rFonts w:ascii="Times New Roman" w:hAnsi="Times New Roman"/>
          <w:b/>
          <w:sz w:val="26"/>
          <w:szCs w:val="26"/>
        </w:rPr>
        <w:t xml:space="preserve">___________ 202</w:t>
      </w:r>
      <w:r>
        <w:rPr>
          <w:rFonts w:ascii="Times New Roman" w:hAnsi="Times New Roman"/>
          <w:b/>
          <w:sz w:val="26"/>
          <w:szCs w:val="26"/>
        </w:rPr>
        <w:t xml:space="preserve">5</w:t>
      </w:r>
      <w:r>
        <w:rPr>
          <w:rFonts w:ascii="Times New Roman" w:hAnsi="Times New Roman"/>
          <w:b/>
          <w:sz w:val="26"/>
          <w:szCs w:val="26"/>
        </w:rPr>
        <w:t xml:space="preserve"> г. №_____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</w:t>
      </w:r>
      <w:r>
        <w:rPr>
          <w:rFonts w:ascii="Times New Roman" w:hAnsi="Times New Roman"/>
          <w:b/>
          <w:sz w:val="26"/>
          <w:szCs w:val="26"/>
        </w:rPr>
        <w:t xml:space="preserve">униципальная</w:t>
      </w:r>
      <w:r>
        <w:rPr>
          <w:rFonts w:ascii="Times New Roman" w:hAnsi="Times New Roman"/>
          <w:b/>
          <w:spacing w:val="63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программа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</w:t>
      </w:r>
      <w:bookmarkStart w:id="1" w:name="_Hlk181259205"/>
      <w:r>
        <w:rPr>
          <w:rFonts w:ascii="Times New Roman" w:hAnsi="Times New Roman"/>
          <w:b/>
          <w:sz w:val="26"/>
          <w:szCs w:val="26"/>
        </w:rPr>
        <w:t xml:space="preserve">Развитие молод</w:t>
      </w:r>
      <w:r>
        <w:rPr>
          <w:rFonts w:ascii="Times New Roman" w:hAnsi="Times New Roman"/>
          <w:b/>
          <w:sz w:val="26"/>
          <w:szCs w:val="26"/>
        </w:rPr>
        <w:t xml:space="preserve">е</w:t>
      </w:r>
      <w:r>
        <w:rPr>
          <w:rFonts w:ascii="Times New Roman" w:hAnsi="Times New Roman"/>
          <w:b/>
          <w:sz w:val="26"/>
          <w:szCs w:val="26"/>
        </w:rPr>
        <w:t xml:space="preserve">жной политики</w:t>
      </w:r>
      <w:r>
        <w:rPr>
          <w:rFonts w:ascii="Times New Roman" w:hAnsi="Times New Roman"/>
          <w:b/>
          <w:sz w:val="26"/>
          <w:szCs w:val="26"/>
        </w:rPr>
        <w:t xml:space="preserve"> на территории Ивнянского района</w:t>
      </w:r>
      <w:bookmarkEnd w:id="1"/>
      <w:r>
        <w:rPr>
          <w:rFonts w:ascii="Times New Roman" w:hAnsi="Times New Roman"/>
          <w:b/>
          <w:sz w:val="26"/>
          <w:szCs w:val="26"/>
        </w:rPr>
        <w:t xml:space="preserve">»</w:t>
      </w:r>
    </w:p>
    <w:p>
      <w:pPr>
        <w:widowControl w:val="off"/>
        <w:spacing w:after="0" w:line="240" w:lineRule="auto"/>
        <w:ind w:right="50"/>
        <w:jc w:val="center"/>
        <w:rPr>
          <w:rFonts w:ascii="Times New Roman" w:hAnsi="Times New Roman"/>
          <w:b/>
          <w:sz w:val="26"/>
          <w:szCs w:val="26"/>
        </w:rPr>
      </w:pPr>
    </w:p>
    <w:p>
      <w:pPr>
        <w:pStyle w:val="ab"/>
        <w:widowControl w:val="off"/>
        <w:numPr>
          <w:numId w:val="15"/>
          <w:ilvl w:val="0"/>
        </w:numPr>
        <w:spacing w:after="0" w:line="240" w:lineRule="auto"/>
        <w:ind w:left="0" w:firstLine="0"/>
        <w:jc w:val="center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Стратегические</w:t>
      </w:r>
      <w:r>
        <w:rPr>
          <w:rFonts w:ascii="Times New Roman" w:hAnsi="Times New Roman"/>
          <w:b/>
          <w:spacing w:val="35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приоритеты</w:t>
      </w:r>
      <w:r>
        <w:rPr>
          <w:rFonts w:ascii="Times New Roman" w:hAnsi="Times New Roman"/>
          <w:b/>
          <w:spacing w:val="31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государственной</w:t>
      </w:r>
      <w:r>
        <w:rPr>
          <w:rFonts w:ascii="Times New Roman" w:hAnsi="Times New Roman"/>
          <w:b/>
          <w:spacing w:val="53"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программы</w:t>
      </w:r>
    </w:p>
    <w:p>
      <w:pPr>
        <w:pStyle w:val="1"/>
        <w:keepNext w:val="0"/>
        <w:widowControl w:val="off"/>
        <w:numPr>
          <w:numId w:val="0"/>
          <w:ilvl w:val="0"/>
        </w:numPr>
        <w:ind w:right="5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-RU"/>
        </w:rPr>
        <w:t xml:space="preserve">1.1. </w:t>
      </w:r>
      <w:r>
        <w:rPr>
          <w:b/>
          <w:sz w:val="26"/>
          <w:szCs w:val="26"/>
        </w:rPr>
        <w:t xml:space="preserve">Общая характеристика сферы реализации муниципальной программы,</w:t>
      </w:r>
      <w:r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br/>
      </w:r>
      <w:r>
        <w:rPr>
          <w:b/>
          <w:sz w:val="26"/>
          <w:szCs w:val="26"/>
        </w:rPr>
        <w:t xml:space="preserve">в том числе формулировки основных проблем в указанной сфере и прогноз </w:t>
      </w:r>
      <w:r>
        <w:rPr>
          <w:b/>
          <w:sz w:val="26"/>
          <w:szCs w:val="26"/>
        </w:rPr>
        <w:br/>
      </w:r>
      <w:r>
        <w:rPr>
          <w:b/>
          <w:sz w:val="26"/>
          <w:szCs w:val="26"/>
          <w:lang w:val="ru-RU"/>
        </w:rPr>
        <w:t xml:space="preserve">ее </w:t>
      </w:r>
      <w:r>
        <w:rPr>
          <w:b/>
          <w:sz w:val="26"/>
          <w:szCs w:val="26"/>
        </w:rPr>
        <w:t xml:space="preserve">развития</w:t>
      </w:r>
    </w:p>
    <w:p>
      <w:pPr>
        <w:widowControl w:val="off"/>
        <w:ind w:right="50"/>
        <w:jc w:val="center"/>
        <w:rPr>
          <w:rFonts w:ascii="Times New Roman" w:hAnsi="Times New Roman"/>
          <w:b/>
          <w:sz w:val="26"/>
          <w:szCs w:val="26"/>
          <w:lang w:val="x-none"/>
        </w:rPr>
      </w:pPr>
    </w:p>
    <w:p>
      <w:pPr>
        <w:pStyle w:val="af7"/>
        <w:ind w:left="0" w:firstLine="851"/>
        <w:jc w:val="both"/>
        <w:rPr>
          <w:sz w:val="26"/>
          <w:szCs w:val="26"/>
          <w:lang w:val="x-none"/>
        </w:rPr>
      </w:pPr>
      <w:r>
        <w:rPr>
          <w:sz w:val="26"/>
          <w:szCs w:val="26"/>
        </w:rPr>
        <w:t xml:space="preserve">Стратегией социально-экономического развития муниципального района «Ивнянский район» Белгородской области на период до 20</w:t>
      </w:r>
      <w:r>
        <w:rPr>
          <w:sz w:val="26"/>
          <w:szCs w:val="26"/>
        </w:rPr>
        <w:t xml:space="preserve">25</w:t>
      </w:r>
      <w:r>
        <w:rPr>
          <w:sz w:val="26"/>
          <w:szCs w:val="26"/>
        </w:rPr>
        <w:t xml:space="preserve"> года определена стратегическая цель развития района – повышение благосостояния населения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на основе всестороннего использования внутреннего потенциала муниципального образования, развития социальной инфраструктуры и бизнеса.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Анализируя возможные направления развития, необходимо выделить наиболее перспективные из них, которые могут быть реально осуществимы с уч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том сложившейся ситуации, тенд</w:t>
      </w:r>
      <w:r>
        <w:rPr>
          <w:sz w:val="26"/>
          <w:szCs w:val="26"/>
        </w:rPr>
        <w:t xml:space="preserve">енций и имеющихся или привлече</w:t>
      </w:r>
      <w:r>
        <w:rPr>
          <w:sz w:val="26"/>
          <w:szCs w:val="26"/>
        </w:rPr>
        <w:t xml:space="preserve">нных</w:t>
      </w:r>
      <w:r>
        <w:rPr>
          <w:sz w:val="26"/>
          <w:szCs w:val="26"/>
        </w:rPr>
        <w:t xml:space="preserve"> ресурсов, дать дополнительный позитивный социально-экономический эффект и способствовать дальнейшему развитию.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жная политика является одним из приоритетных направлений социально-экономической политики Российской Федерации, Белгородской области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Ивнянского района. Основная цель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 – создание социально-экономических, правовых и организационных условий и гарантий для самореализации личности молодого человека, реализации его интересов и социального становления, максимального раскрытия потенциала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в интересах развития общества,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а также для поддержки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жных объединений, движений и инициатив.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Эффективная государственная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жная политика – один из главных инструментов развития страны, повышения благосостояния е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граждан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совершенствования общественных отношений. Важнейшим аспектом эффективного управления обществом является информация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 жизненных установках групп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категорий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– ценностных ориентациях.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Государственная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жная политика должна исходить из идеи партнерства органов государственной власти 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на основе гармонизации государственных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личных интересов молодых людей, создания условий для развития всех категорий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жная политика сегодня может быть эффективной только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том случае, если она поддерживает индивидуальное развитие молодого человека, а не стремится формировать его личность по шаблонам, стандартам, предписаниям. Она должна информационно и </w:t>
      </w:r>
      <w:r>
        <w:rPr>
          <w:sz w:val="26"/>
          <w:szCs w:val="26"/>
        </w:rPr>
        <w:t xml:space="preserve">ресурсно</w:t>
      </w:r>
      <w:r>
        <w:rPr>
          <w:sz w:val="26"/>
          <w:szCs w:val="26"/>
        </w:rPr>
        <w:t xml:space="preserve"> обеспечить выбор человека, стимулировать инициативы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и е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организаций, а не навязывать свои варианты решений. Именно поэтому </w:t>
      </w:r>
      <w:r>
        <w:rPr>
          <w:sz w:val="26"/>
          <w:szCs w:val="26"/>
        </w:rPr>
        <w:t xml:space="preserve">современная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жная политика должна быть гибкой и сочетать в себе централизованную государственную составляющую и децентрализованную общественную.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Сегодняшней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предстоит жить и действовать в условиях усиления глобальной конкуренции, возрастания роли инноваций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значения человеческого капитала как основного фактора экономического развития. 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Одним из приоритетных направлений деятельности администрации Ивнянского района является разработка и реализация государственной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 района, направленной на создание условий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возможностей для успешной социализации, и эффективной самореализации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жи, благоприятной социальной адаптации молодых людей с уч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том индивидуальных особенностей.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Объекты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политики: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жная политика Ивнянского района проводится в отношении граждан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в возрасте от 14 до 35 лет.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Среди целевых групп, которые входят в сферу деятельности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политики, можно выделить:</w:t>
      </w:r>
    </w:p>
    <w:p>
      <w:pPr>
        <w:pStyle w:val="af7"/>
        <w:numPr>
          <w:numId w:val="3"/>
          <w:ilvl w:val="0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жные лидеры, члены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жных объединений;</w:t>
      </w:r>
    </w:p>
    <w:p>
      <w:pPr>
        <w:pStyle w:val="af7"/>
        <w:numPr>
          <w:numId w:val="3"/>
          <w:ilvl w:val="0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работающая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жь;</w:t>
      </w:r>
    </w:p>
    <w:p>
      <w:pPr>
        <w:pStyle w:val="af7"/>
        <w:numPr>
          <w:numId w:val="3"/>
          <w:ilvl w:val="0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молодые семьи;</w:t>
      </w:r>
    </w:p>
    <w:p>
      <w:pPr>
        <w:pStyle w:val="af7"/>
        <w:numPr>
          <w:numId w:val="3"/>
          <w:ilvl w:val="0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жь с ограниченными возможностями;</w:t>
      </w:r>
    </w:p>
    <w:p>
      <w:pPr>
        <w:pStyle w:val="af7"/>
        <w:numPr>
          <w:numId w:val="3"/>
          <w:ilvl w:val="0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жь, находящаяся в трудной жизненной ситуации.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положения подпрограммы предусматривают необходимость ч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ткого нормативного определения возрастных рамок категории «молод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жь», более тщательной дифференциации объектов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 и точной адресности законов, проводимых мероприятий и финансовых потоков.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Субъекты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политики:</w:t>
      </w:r>
    </w:p>
    <w:p>
      <w:pPr>
        <w:pStyle w:val="af7"/>
        <w:numPr>
          <w:numId w:val="3"/>
          <w:ilvl w:val="0"/>
        </w:numPr>
        <w:tabs>
          <w:tab w:val="left" w:pos="-482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органы местного самоуправления;</w:t>
      </w:r>
    </w:p>
    <w:p>
      <w:pPr>
        <w:pStyle w:val="af7"/>
        <w:numPr>
          <w:numId w:val="3"/>
          <w:ilvl w:val="0"/>
        </w:numPr>
        <w:tabs>
          <w:tab w:val="left" w:pos="-482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муниципальные учреждения;</w:t>
      </w:r>
    </w:p>
    <w:p>
      <w:pPr>
        <w:pStyle w:val="af7"/>
        <w:numPr>
          <w:numId w:val="3"/>
          <w:ilvl w:val="0"/>
        </w:numPr>
        <w:tabs>
          <w:tab w:val="left" w:pos="-482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общественные организации;</w:t>
      </w:r>
    </w:p>
    <w:p>
      <w:pPr>
        <w:pStyle w:val="af7"/>
        <w:numPr>
          <w:numId w:val="3"/>
          <w:ilvl w:val="0"/>
        </w:numPr>
        <w:tabs>
          <w:tab w:val="left" w:pos="-482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коммерческие предприятия и организации;</w:t>
      </w:r>
    </w:p>
    <w:p>
      <w:pPr>
        <w:pStyle w:val="af7"/>
        <w:numPr>
          <w:numId w:val="3"/>
          <w:ilvl w:val="0"/>
        </w:numPr>
        <w:tabs>
          <w:tab w:val="left" w:pos="-482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социальные группы.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жь является самостоятельной социально-демографической группой, инновационный потенциал и роль которой необходимо учитывать во всех сферах жизни общества и обладает значительным потенциалом, который используется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не в полной мере, мобильностью, инициативностью, восприимчивостью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к инновационным изменениям, новым технологиям, способностью противодействовать негативным вызовам.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Стратегия развития муниципального района «Ивнянский район» ориентирована на создание и совершенствование условий, обеспечивающих достижение лучшего качества жизни всех молодых жителей Ивнянского района.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Программа призвана максимально учитывать и откликаться на различные тенденции, существующие и возникающие в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среде, активнее развивать правовые, экономические и организационные условия и гарантии для самореализации личности молодого человека во всех сферах деятельности и улучшать качество жизни молодых людей.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эффективной реализации муниципальной программы необходимо выполнение следующих функций: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научно-методическая функция – мониторинг социального состояния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жи, социальное прогнозирование последствий реализации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жных проектов, разработка методических рекомендаций;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оперативное управление – формирование общественного консенсуса социальных интересов групп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между собой и другими возрастными категориями;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социальная поддержка – поддержка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жи, оказавшейся в трудной жизненной ситуации;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поддержка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жных и детских общественных организаций – поддержка деятельности социально позитивных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жных и детских общественных организаций;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культурно-образовательная функция - развитие у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культуры отношений с другими социально-демографическими группами;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совершенствование системы гражданско-патриотического и духовно-нравственного воспитания;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совершенствование системы военно-патриотического воспитания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повышение мотивации к военной службе в современных условиях;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вовлечение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в волонт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рскую (добровольческую) деятельность.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Программа призвана обеспечить формирование качественно нового подхода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к развитию сферы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 в Ивнянском районе путем перехода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на проектную деятельность.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Несмотря на достигнутые результаты в сфере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политики, имеется ряд проблем, отрицательно влияющих на развитие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 в Ивнянском районе: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недостаточный уровень социальной ответственности среди отдельных слоев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недостаточный уровень развития инфраструктуры современной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политики, которая включает в себя организации, учреждения и службы, осуществляющие многофункциональную деятельность, учитывающую потребности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по широкому спектру социально значимых вопросов;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недостаточный уровень кадрового обеспечения сферы «Молод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жная политика» и подготовки кадров;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сложности трудоустройства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по специальности при отсутствии опыта работы.</w:t>
      </w:r>
    </w:p>
    <w:p>
      <w:pPr>
        <w:widowControl w:val="off"/>
        <w:spacing w:after="0" w:line="240" w:lineRule="auto"/>
        <w:ind w:right="3"/>
        <w:rPr>
          <w:rFonts w:ascii="Times New Roman" w:hAnsi="Times New Roman"/>
          <w:sz w:val="26"/>
          <w:szCs w:val="26"/>
        </w:rPr>
      </w:pPr>
    </w:p>
    <w:p>
      <w:pPr>
        <w:pStyle w:val="1"/>
        <w:keepNext w:val="0"/>
        <w:widowControl w:val="off"/>
        <w:numPr>
          <w:numId w:val="15"/>
          <w:ilvl w:val="1"/>
        </w:numPr>
        <w:tabs>
          <w:tab w:val="left" w:pos="0"/>
        </w:tabs>
        <w:ind w:left="0" w:right="3" w:firstLine="0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</w:rPr>
        <w:t xml:space="preserve">Приоритеты муниципальной политики в сфере реализации муниципальной программы, цели, задачи и описание показателей конечного результата </w:t>
      </w:r>
      <w:r>
        <w:rPr>
          <w:b/>
          <w:sz w:val="26"/>
          <w:szCs w:val="26"/>
          <w:lang w:val="ru-RU"/>
        </w:rPr>
        <w:t xml:space="preserve">и сроков </w:t>
      </w:r>
      <w:r>
        <w:rPr>
          <w:b/>
          <w:sz w:val="26"/>
          <w:szCs w:val="26"/>
        </w:rPr>
        <w:t xml:space="preserve">реализации муниципальной программы</w:t>
      </w:r>
    </w:p>
    <w:p>
      <w:pPr>
        <w:widowControl w:val="off"/>
        <w:tabs>
          <w:tab w:val="left" w:pos="0"/>
        </w:tabs>
        <w:spacing w:after="0" w:line="240" w:lineRule="auto"/>
        <w:ind w:right="3"/>
        <w:jc w:val="center"/>
        <w:rPr>
          <w:b/>
        </w:rPr>
      </w:pP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Приоритеты муниципальной программы на долгосрочную перспективу </w:t>
      </w:r>
      <w:r>
        <w:rPr>
          <w:sz w:val="26"/>
          <w:szCs w:val="26"/>
        </w:rPr>
        <w:t xml:space="preserve">в сфере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</w:t>
      </w:r>
      <w:r>
        <w:rPr>
          <w:sz w:val="26"/>
          <w:szCs w:val="26"/>
        </w:rPr>
        <w:t xml:space="preserve"> в Ивнянском районе установлены стратегией развития Ивнянского района.</w:t>
      </w:r>
    </w:p>
    <w:p>
      <w:pPr>
        <w:pStyle w:val="af7"/>
        <w:tabs>
          <w:tab w:val="left" w:pos="993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Становление благоприятной социальной среды и создание условий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для эффективной реализации человеческого потенциала и обеспечения качества жизни населения на основе динамичного развития экономики региона.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</w:t>
      </w:r>
      <w:r>
        <w:rPr>
          <w:sz w:val="26"/>
          <w:szCs w:val="26"/>
        </w:rPr>
        <w:t xml:space="preserve"> 1.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Вовлечение молодых людей Ивнянского района в общественную деятельность, а также создание условий для воспитания гармонично развитой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социально ответственной личности на основе духовно-нравственных ценностей </w:t>
      </w:r>
      <w:r>
        <w:rPr>
          <w:sz w:val="26"/>
          <w:szCs w:val="26"/>
        </w:rPr>
        <w:t xml:space="preserve">населения</w:t>
      </w:r>
      <w:r>
        <w:rPr>
          <w:sz w:val="26"/>
          <w:szCs w:val="26"/>
        </w:rPr>
        <w:t xml:space="preserve"> Российской Федерации, исторических и национально-культурных традиций</w:t>
      </w:r>
      <w:r>
        <w:rPr>
          <w:sz w:val="26"/>
          <w:szCs w:val="26"/>
        </w:rPr>
        <w:t xml:space="preserve">; 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 2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 Развитие в обществе высокой социальной активности, гражданской ответственности, укрепление чувства сопричастности граждан к истории и культуре России, обеспечение преемственности поколений, духовности, становление граждан, обладающих позитивными ценностями и качествами, способных проявить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их в созидательном процессе в интересах Отечества</w:t>
      </w:r>
      <w:r>
        <w:rPr>
          <w:sz w:val="26"/>
          <w:szCs w:val="26"/>
        </w:rPr>
        <w:t xml:space="preserve">;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</w:t>
      </w:r>
      <w:r>
        <w:rPr>
          <w:sz w:val="26"/>
          <w:szCs w:val="26"/>
        </w:rPr>
        <w:tab/>
        <w:t xml:space="preserve"> 3.</w:t>
      </w:r>
      <w:r>
        <w:rPr>
          <w:sz w:val="26"/>
          <w:szCs w:val="26"/>
        </w:rPr>
        <w:t xml:space="preserve"> 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организаций»</w:t>
      </w:r>
      <w:r>
        <w:rPr>
          <w:sz w:val="26"/>
          <w:szCs w:val="26"/>
        </w:rPr>
        <w:t xml:space="preserve">;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Достижение данной цели возможно при решении следующих задач:</w:t>
      </w:r>
    </w:p>
    <w:p>
      <w:pPr>
        <w:pStyle w:val="af7"/>
        <w:numPr>
          <w:numId w:val="4"/>
          <w:ilvl w:val="0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Формирование системы выявления и продвижения инициативной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талантливой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жи, развития творческого и инновационного потенциала молодых людей.</w:t>
      </w:r>
    </w:p>
    <w:p>
      <w:pPr>
        <w:pStyle w:val="af7"/>
        <w:numPr>
          <w:numId w:val="4"/>
          <w:ilvl w:val="0"/>
        </w:numPr>
        <w:tabs>
          <w:tab w:val="left" w:pos="1134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Формирование системы патриотического воспитания в Ивнянском районе.</w:t>
      </w:r>
    </w:p>
    <w:p>
      <w:pPr>
        <w:pStyle w:val="af7"/>
        <w:numPr>
          <w:numId w:val="4"/>
          <w:ilvl w:val="0"/>
        </w:numPr>
        <w:tabs>
          <w:tab w:val="left" w:pos="1134"/>
          <w:tab w:val="left" w:pos="1297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Совершенствование форм и методов работы по развитию добровольческого (волонт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рского) движения, инфраструктуры и механизмов поддержки добровольчества.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результате реализации муниципальной программы будут достигнуты следующие показатели:</w:t>
      </w:r>
    </w:p>
    <w:p>
      <w:pPr>
        <w:pStyle w:val="af7"/>
        <w:numPr>
          <w:numId w:val="5"/>
          <w:ilvl w:val="0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Увеличение доли молодых людей в возрасте от 14 до 35 лет, охваченной мероприяти</w:t>
      </w:r>
      <w:r>
        <w:rPr>
          <w:sz w:val="26"/>
          <w:szCs w:val="26"/>
        </w:rPr>
        <w:t xml:space="preserve">ями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жной политики, до 75</w:t>
      </w:r>
      <w:r>
        <w:rPr>
          <w:sz w:val="26"/>
          <w:szCs w:val="26"/>
        </w:rPr>
        <w:t xml:space="preserve"> % от общего количества молодых людей в возрасте от 14 до 35 лет в районе.</w:t>
      </w:r>
    </w:p>
    <w:p>
      <w:pPr>
        <w:pStyle w:val="af7"/>
        <w:numPr>
          <w:numId w:val="5"/>
          <w:ilvl w:val="0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Увеличение доли</w:t>
      </w:r>
      <w:r>
        <w:rPr>
          <w:sz w:val="26"/>
          <w:szCs w:val="26"/>
        </w:rPr>
        <w:t xml:space="preserve">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</w:t>
      </w:r>
      <w:r>
        <w:rPr>
          <w:sz w:val="26"/>
          <w:szCs w:val="26"/>
        </w:rPr>
        <w:t xml:space="preserve"> в возрасте от 14 до 35 лет,</w:t>
      </w:r>
      <w:r>
        <w:rPr>
          <w:sz w:val="26"/>
          <w:szCs w:val="26"/>
        </w:rPr>
        <w:t xml:space="preserve"> вовлеченной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в проектную деятельность в различных сферах деятельности, к общему числу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района </w:t>
      </w:r>
      <w:r>
        <w:rPr>
          <w:sz w:val="26"/>
          <w:szCs w:val="26"/>
        </w:rPr>
        <w:t xml:space="preserve">до </w:t>
      </w:r>
      <w:r>
        <w:rPr>
          <w:sz w:val="26"/>
          <w:szCs w:val="26"/>
        </w:rPr>
        <w:t xml:space="preserve">5 % от общего количества молодых людей в возрасте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от 14 до 35 лет в районе.</w:t>
      </w:r>
    </w:p>
    <w:p>
      <w:pPr>
        <w:pStyle w:val="af7"/>
        <w:numPr>
          <w:numId w:val="5"/>
          <w:ilvl w:val="0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Увеличение доли молодых граждан, участвующих в мероприятиях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по патриотическому воспитанию, по отношению к общему ко</w:t>
      </w:r>
      <w:r>
        <w:rPr>
          <w:sz w:val="26"/>
          <w:szCs w:val="26"/>
        </w:rPr>
        <w:t xml:space="preserve">личеству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района до 85</w:t>
      </w:r>
      <w:r>
        <w:rPr>
          <w:sz w:val="26"/>
          <w:szCs w:val="26"/>
        </w:rPr>
        <w:t xml:space="preserve"> %.</w:t>
      </w:r>
    </w:p>
    <w:p>
      <w:pPr>
        <w:pStyle w:val="af7"/>
        <w:numPr>
          <w:numId w:val="5"/>
          <w:ilvl w:val="0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Увеличение доли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жи, вовлеченной в волонт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рскую (добровольческую) деятельность до </w:t>
      </w:r>
      <w:r>
        <w:rPr>
          <w:sz w:val="26"/>
          <w:szCs w:val="26"/>
        </w:rPr>
        <w:t xml:space="preserve">8</w:t>
      </w:r>
      <w:r>
        <w:rPr>
          <w:sz w:val="26"/>
          <w:szCs w:val="26"/>
        </w:rPr>
        <w:t xml:space="preserve"> % от общего числа количества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района.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мероприятий подпрограмм, а также сроки и этапы их реализации подлежат ежегодной корректировке, достигнутых результатов в предшествующий период реализации муниципальной программы. </w:t>
      </w:r>
    </w:p>
    <w:p>
      <w:pPr>
        <w:pStyle w:val="af7"/>
        <w:ind w:left="0"/>
        <w:jc w:val="both"/>
        <w:rPr>
          <w:sz w:val="26"/>
          <w:szCs w:val="26"/>
        </w:rPr>
      </w:pPr>
    </w:p>
    <w:p>
      <w:pPr>
        <w:pStyle w:val="af7"/>
        <w:ind w:left="0" w:right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1.3.</w:t>
      </w:r>
      <w:r>
        <w:rPr>
          <w:b/>
          <w:sz w:val="26"/>
          <w:szCs w:val="26"/>
        </w:rPr>
        <w:tab/>
        <w:t xml:space="preserve">Сведения о взаимосвязи со стратегическими приоритетами, целями </w:t>
      </w:r>
      <w:r>
        <w:rPr>
          <w:b/>
          <w:sz w:val="26"/>
          <w:szCs w:val="26"/>
        </w:rPr>
        <w:br/>
      </w:r>
      <w:r>
        <w:rPr>
          <w:b/>
          <w:sz w:val="26"/>
          <w:szCs w:val="26"/>
        </w:rPr>
        <w:t xml:space="preserve">и показателями государственных программ Российской Федерации</w:t>
      </w:r>
    </w:p>
    <w:p>
      <w:pPr>
        <w:pStyle w:val="af7"/>
        <w:ind w:right="3"/>
        <w:jc w:val="both"/>
        <w:rPr>
          <w:sz w:val="26"/>
          <w:szCs w:val="26"/>
        </w:rPr>
      </w:pP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Основным приоритетом государственной молодежной политики является </w:t>
      </w:r>
      <w:bookmarkStart w:id="2" w:name="_Hlk181799372"/>
      <w:r>
        <w:rPr>
          <w:sz w:val="26"/>
          <w:szCs w:val="26"/>
        </w:rPr>
        <w:t xml:space="preserve">создание условий для формирования гармоничной, развивающейся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конкурентоспособной личности, обладающей высокими нравственными стандартами и способной к быстрой адаптации к изменяющимся условиям</w:t>
      </w:r>
      <w:bookmarkEnd w:id="2"/>
      <w:r>
        <w:rPr>
          <w:sz w:val="26"/>
          <w:szCs w:val="26"/>
        </w:rPr>
        <w:t xml:space="preserve">. Главная задача заключается в </w:t>
      </w:r>
      <w:bookmarkStart w:id="3" w:name="_Hlk181799492"/>
      <w:r>
        <w:rPr>
          <w:sz w:val="26"/>
          <w:szCs w:val="26"/>
        </w:rPr>
        <w:t xml:space="preserve">воспитании патриотичного поколения с независимым мышлением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профессиональными навыками, которое демонстрирует высокую культуру, межнациональное взаимодействие и способность принимать ответственные решения</w:t>
      </w:r>
      <w:bookmarkEnd w:id="3"/>
      <w:r>
        <w:rPr>
          <w:sz w:val="26"/>
          <w:szCs w:val="26"/>
        </w:rPr>
        <w:t xml:space="preserve">. При этом значительное внимание должно уделяться поддержке талантливой молодежи. Власть и общество должны создать условия для полноценного </w:t>
      </w:r>
      <w:r>
        <w:rPr>
          <w:sz w:val="26"/>
          <w:szCs w:val="26"/>
        </w:rPr>
        <w:t xml:space="preserve">самовыражения ст</w:t>
      </w:r>
      <w:r>
        <w:rPr>
          <w:sz w:val="26"/>
          <w:szCs w:val="26"/>
        </w:rPr>
        <w:t xml:space="preserve">раны в различных сферах жизни. 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 индивидуальных качеств молодежи должно сопровождаться активным участием в социальной жизни. Все эти аспекты подчеркивают необходимость формирования адекватной молодежной политики, которая отвечает современным вызовам. Эффективность этой политики проявляется в увеличении числа активно настроенной молодежи, работающей над своим развитием и сосредоточенной на ценностях, уважении к своему здоровью и готовности защищать национальные интересы. Основная цель заключается в улучшении социально-экономического положения молодежи и повышении ее участия в жизни общества.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Основной целью государственной молодежной политики является улучшение социально-экономического положения подрастающего поколения, повышение степени участия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в государственных делах.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Молодежная государственная политика основана на конституционных гарантиях неприкосновенности и равенства свобод и прав граждан. Реализация осуществляется на основе ряда принципов: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ответственность государства за интересы подрастающего поколения;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признание молодежи в качестве равноправного партнера в разработке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реализации молодежной политики;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ответственность молодого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поколения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реализацию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своих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прав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обязанностей в сфере общественной и государственной жизни;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приоритетная государственная поддержка наиболее незащищенных категорий граждан;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коллективное оказание государственных услуг по культурному, духовному, социальному, физическому развитию, предоставление возможности получения образования, создания семьи, начала профессиональной деятельности и в целом выбора жизненного пути человека;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поддержание работы молодежных организаций и объединений;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государственно-частного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партнерства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сотрудничества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с государственными институтами;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инфраструктуры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молодежной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политики,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а также эффективность использования имеющихся информационных ресурсов;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укрепление механизмов регулирования, единство деятельности органов государственной власти на федеральном и региональном уровнях;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взаимодействие различных ведомств в реализации стратегий, разработанных и утвержденных в отношении молодежной политики.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Государственная молодежная политика представляет собой </w:t>
      </w:r>
      <w:r>
        <w:rPr>
          <w:sz w:val="26"/>
          <w:szCs w:val="26"/>
        </w:rPr>
        <w:t xml:space="preserve">к</w:t>
      </w:r>
      <w:r>
        <w:rPr>
          <w:sz w:val="26"/>
          <w:szCs w:val="26"/>
        </w:rPr>
        <w:t xml:space="preserve">омплексную программу,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направленную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создание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системы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нравственных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ценностей с учетом многонациональности государства.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Реализация этой задачи включает в себя создание необходимых условий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для патриотического воспитания и развития подрастающего поколения, знающих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ответственно реализующих возложенные Конституцией обязанности и права, обладающих гуманным мировоззрением, уважающих свое разнообразие,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демонстрирующих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знание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культурного,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исторического и национального наследия.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Для этого необходимы следующие мероприятия: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и активная реализация образовательных (в том числе интерактивных) проектов и программ гражданско-патриотической направленности, посвященных пропаганде символов Российской Федерации, достижений страны,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ее героев, важных событий новейшей истории России;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просветительской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деятельности,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направленной на укрепление межнационального, социального и межконфессионального согласия;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популяризация русской литературы и литературного языка, национальных, культурных традиций;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привлечение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молодежи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реализации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проектов,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направленных на сохранение культуры, исторического наследия и традиционных ремесел страны;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оказание системной поддержки программам, способствующим формированию гражданской позиции, воспитанию уважения к различным этносам, укреплению нравственных ценностей, предотвращению неформальных движений, субкультур и экстремизма;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участие молодежи в активной деятельности археологических, исследовательских,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краеведческих,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военно-исторических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объединений;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участие в творческой деятельности, поддержка молодежи, занимающейся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современным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искусством;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популяризация людей, достигших вершин в профессиональной деятельности;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повышение удобства использования туризма и развитие туристической инфраструктуры;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мероприятия, связанные с поощрением участия молодежи в реализации экологических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программ, реставрации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культурно-исторических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памятников;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инструментов и механизмов обеспечения доступности объектов духовного наследия. Это касается выставок, </w:t>
      </w:r>
      <w:r>
        <w:rPr>
          <w:sz w:val="26"/>
          <w:szCs w:val="26"/>
        </w:rPr>
        <w:t xml:space="preserve">музеев, театрально-</w:t>
      </w:r>
      <w:r>
        <w:rPr>
          <w:sz w:val="26"/>
          <w:szCs w:val="26"/>
        </w:rPr>
        <w:t xml:space="preserve">концертных учреждений и т. д.;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расширение сети физкультурно-с</w:t>
      </w:r>
      <w:r>
        <w:rPr>
          <w:sz w:val="26"/>
          <w:szCs w:val="26"/>
        </w:rPr>
        <w:t xml:space="preserve">портивных, компьютерных, военно-</w:t>
      </w:r>
      <w:r>
        <w:rPr>
          <w:sz w:val="26"/>
          <w:szCs w:val="26"/>
        </w:rPr>
        <w:t xml:space="preserve">патриотических, художественных кружков, библиотек и других организаций.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Воспитательная работа в данной сфере включает в себя внедрение инновационных образовательных и обучающих технологий, создание условий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для самообразования молодежи.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выполнения этих задач разработаны конкретные меры государственной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молодежной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политики: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 правового и гуманитарного воспитания молодой культуры, повышение уровня финансовой культуры;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повышение качества образования. В первую очередь внимание уделяется инженерно-техническому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педагогическому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направлениям;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создание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системы самообразования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молодежи и условий для их мотивации, организация открытого доступа к обучению и обучающим курсам в дистанционном режиме;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способов поощрения талантливой молодежи;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улучшение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условий инклюзивного образования для людей с инвалидностью;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 системы сертификации приобретенных компетенций и знаний,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включая самообучение;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повышение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профессионального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уровня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работников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министерства по делам молодежи и других учреждений, и организаций, занимающихся вопросами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молодежи;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активное использование положительного потенциала неформальных объединений и общественных ресурсов для дальнейшего воспитания молодежи;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создание условий для привлечения к профессиональной деятельности молодых специалистов, волонтеров, индивидуальных предпринимателей, студентов, </w:t>
      </w:r>
      <w:r>
        <w:rPr>
          <w:sz w:val="26"/>
          <w:szCs w:val="26"/>
        </w:rPr>
        <w:t xml:space="preserve">представителей науки и вузов;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 системы молодежного самоуправления в образовательных учреждениях, участие молодежных объединений в мониторинге качества образовательных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услуг.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реализации такой комплексной программы необходимо несколько механизмов: правовой, организационный, информационный, научно- аналитический,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социальный.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Правовой механизм включает в себя: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совершенствование норм федерального и регионального законодательства, законодательных актов, принимаемых исполнительными органами государственной власти;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и анализ программ реализации молодежной политики, других комплексных проектов, реализуемых в соответствии с ее положениями;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методов межведомственного взаимодействия;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механизмов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государственно-частного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партнерства для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вовлечения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бизнес-сообществ,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граждан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общественных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объединений в реализацию молодежной политики;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создание условий для самореализации молодежи в разных уголках страны, способствование образованию и трудовой мобильности.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Организационный механизм включает в себя: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создание совещательных, координационных органов.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Это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касается не только молодежных комитетов, но и молодежных объединений, рабочих групп и пр.;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подготовка ежегодных отчетов о положении подрастающего поколения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в России и реализации молодежной политики;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разработка комплексных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планов,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контроль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эффективности их выполнения;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проведение научно-аналитических исследований по проблемам молодежи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на местном, региональном и федеральном уровнях;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реализации молодежной политики и привлечение внебюджетных средств из государственного, муниципального, областного бюджетов.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Информационный механизм включает в себя: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публикация информации о реализации молодежной политики в сети Интернет и в СМИ;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 муниципальных и государственных информационных систем,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том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числе экспертных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сетей, баз данных,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оказание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государственных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услуг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электронной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форме,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минимизация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неблагоприятного молодежи с государственными структурами.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Научно-аналитический механизм включает в себя: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расширение молодежных исследований;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регулярная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организация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межрегиональных, всероссийских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учебно-методических,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научно-практических семинаров, фестивалей молодежи и студентов; взаимодействия региональных, конференций,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составление и регулярная оптимизация перечня социологических, статистических, иных показателей реализации политики, для обеспечения сбора актуальной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информации.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Таким образом, молодежная политика направлена на воспитание поколений, уважающих и любящи</w:t>
      </w:r>
      <w:r>
        <w:rPr>
          <w:sz w:val="26"/>
          <w:szCs w:val="26"/>
        </w:rPr>
        <w:t xml:space="preserve">х</w:t>
      </w:r>
      <w:r>
        <w:rPr>
          <w:sz w:val="26"/>
          <w:szCs w:val="26"/>
        </w:rPr>
        <w:t xml:space="preserve"> свою Родину. Методология молодежной политики учитывает быстро меняющиеся интересы и запросы молодежи.</w:t>
      </w:r>
    </w:p>
    <w:p>
      <w:pPr>
        <w:widowControl w:val="off"/>
        <w:ind w:firstLine="851"/>
        <w:contextualSpacing/>
        <w:jc w:val="both"/>
        <w:rPr>
          <w:rFonts w:ascii="Times New Roman" w:hAnsi="Times New Roman" w:eastAsia="Times New Roman"/>
          <w:sz w:val="26"/>
          <w:szCs w:val="26"/>
          <w:lang w:eastAsia="en-US"/>
        </w:rPr>
      </w:pPr>
      <w:r>
        <w:rPr>
          <w:rFonts w:ascii="Times New Roman" w:hAnsi="Times New Roman" w:eastAsia="Times New Roman"/>
          <w:sz w:val="26"/>
          <w:szCs w:val="26"/>
          <w:lang w:eastAsia="en-US"/>
        </w:rPr>
        <w:t xml:space="preserve">Муниципальная программа сформирована с учетом национальных целей развития на период до 2030 года и на перспективу до 2036 года, определенных Указом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 (национальная цель – «Реализация потенциала каждого человека, развитие </w:t>
      </w:r>
      <w:r>
        <w:rPr>
          <w:rFonts w:ascii="Times New Roman" w:hAnsi="Times New Roman" w:eastAsia="Times New Roman"/>
          <w:sz w:val="26"/>
          <w:szCs w:val="26"/>
          <w:lang w:eastAsia="en-US"/>
        </w:rPr>
        <w:br/>
      </w:r>
      <w:r>
        <w:rPr>
          <w:rFonts w:ascii="Times New Roman" w:hAnsi="Times New Roman" w:eastAsia="Times New Roman"/>
          <w:sz w:val="26"/>
          <w:szCs w:val="26"/>
          <w:lang w:eastAsia="en-US"/>
        </w:rPr>
        <w:t xml:space="preserve">его талантов, воспитание патриотичной и социально ответственной личности»).</w:t>
      </w:r>
    </w:p>
    <w:p>
      <w:pPr>
        <w:widowControl w:val="off"/>
        <w:ind w:firstLine="851"/>
        <w:contextualSpacing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 w:eastAsia="Times New Roman"/>
          <w:sz w:val="26"/>
          <w:szCs w:val="26"/>
          <w:lang w:eastAsia="en-US"/>
        </w:rPr>
        <w:t xml:space="preserve">Кроме того, при формировании целей и показателей муниципальной программы учитывались положения документов стратегического планирования области, в том числе государственной программы Белгородской области: «Патриотическое и духовно-нравственное воспитание молодежи Белгородской области».</w:t>
      </w:r>
      <w:r>
        <w:rPr>
          <w:sz w:val="26"/>
          <w:szCs w:val="26"/>
        </w:rPr>
        <w:br w:type="page" w:clear="all"/>
      </w:r>
    </w:p>
    <w:p>
      <w:pPr>
        <w:pStyle w:val="af7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1.4.</w:t>
      </w:r>
      <w:r>
        <w:rPr>
          <w:b/>
          <w:sz w:val="26"/>
          <w:szCs w:val="26"/>
        </w:rPr>
        <w:t xml:space="preserve"> З</w:t>
      </w:r>
      <w:r>
        <w:rPr>
          <w:b/>
          <w:sz w:val="26"/>
          <w:szCs w:val="26"/>
        </w:rPr>
        <w:t xml:space="preserve">адачи муниципального</w:t>
      </w:r>
      <w:r>
        <w:rPr>
          <w:b/>
          <w:sz w:val="26"/>
          <w:szCs w:val="26"/>
        </w:rPr>
        <w:t xml:space="preserve"> управления, способы их эффективного решения </w:t>
      </w:r>
      <w:r>
        <w:rPr>
          <w:b/>
          <w:sz w:val="26"/>
          <w:szCs w:val="26"/>
        </w:rPr>
        <w:br/>
      </w:r>
      <w:r>
        <w:rPr>
          <w:b/>
          <w:sz w:val="26"/>
          <w:szCs w:val="26"/>
        </w:rPr>
        <w:t xml:space="preserve">в сфере реализации </w:t>
      </w:r>
      <w:r>
        <w:rPr>
          <w:b/>
          <w:sz w:val="26"/>
          <w:szCs w:val="26"/>
        </w:rPr>
        <w:t xml:space="preserve">муниципальной</w:t>
      </w:r>
      <w:r>
        <w:rPr>
          <w:b/>
          <w:sz w:val="26"/>
          <w:szCs w:val="26"/>
        </w:rPr>
        <w:t xml:space="preserve"> программы</w:t>
      </w:r>
    </w:p>
    <w:p>
      <w:pPr>
        <w:pStyle w:val="af7"/>
        <w:ind w:left="0"/>
        <w:jc w:val="both"/>
        <w:rPr>
          <w:sz w:val="26"/>
          <w:szCs w:val="26"/>
        </w:rPr>
      </w:pP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муниципальной программы направлены на решение основных задач, установленных в структурных элементах, сгруппированных по направлениям (подпрограмм).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направлению (подпрограмме) 1 «</w:t>
      </w:r>
      <w:r>
        <w:rPr>
          <w:sz w:val="26"/>
          <w:szCs w:val="26"/>
        </w:rPr>
        <w:t xml:space="preserve">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жь Ивнянского района»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определены ключевые задачи: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Задача 1. «</w:t>
      </w:r>
      <w:bookmarkStart w:id="4" w:name="_Hlk181800290"/>
      <w:r>
        <w:rPr>
          <w:sz w:val="26"/>
          <w:szCs w:val="26"/>
        </w:rPr>
        <w:t xml:space="preserve">Создание условий для патриотического и духовно-нравственного воспитания, творческого, интеллектуального и физического развития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жи, реализации е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научно-технического и творческого потенциала, поддержка деятельности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жных и детских общественных объединений</w:t>
      </w:r>
      <w:bookmarkEnd w:id="4"/>
      <w:r>
        <w:rPr>
          <w:sz w:val="26"/>
          <w:szCs w:val="26"/>
        </w:rPr>
        <w:t xml:space="preserve">».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Реализация этой задачи предусматривает осуществление следующих мероприятий: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bookmarkStart w:id="5" w:name="_Hlk181800396"/>
      <w:r>
        <w:rPr>
          <w:sz w:val="26"/>
          <w:szCs w:val="26"/>
        </w:rPr>
        <w:t xml:space="preserve">поддержка социальной и инновационной активности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формирование системы развития кадрового потенциала Ивнянского района;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создание целостной системы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жных информационных ресурсов;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формирование системы поддержки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жных объединений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на предприятиях и в организациях;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содействие занятости, трудоустройству, предпринимательству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создание условий для развития добровольческой (волонт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рской) деятельности среди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повышение профессионального уровня сотрудников органа по делам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жного актива;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обеспечение проведения мероприятий, направленных на физическое развитие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и развитие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жного туризма и обеспечение проведения мероприятий, направленных на выявление и поощрение талантливой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жи, стимулирование деятельности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жного актива;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обеспечение проведения мероприятий, направленных на грантовую поддержку проектной деятельности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жи.</w:t>
      </w:r>
    </w:p>
    <w:bookmarkEnd w:id="5"/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рамках основного мероприятия будет организовано участие представителей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 Ивнянского района в различных местных, региональных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межрегиональных мероприятиях, лагерях и школах актива, форумах и прочих мероприятиях, а также построение системы грантовой поддержки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жных проектов и инициатив.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данного основного мероприятия осуществляется за сч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т средств местного бюджета.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bookmarkStart w:id="6" w:name="_Hlk181801164"/>
      <w:r>
        <w:rPr>
          <w:sz w:val="26"/>
          <w:szCs w:val="26"/>
        </w:rPr>
        <w:t xml:space="preserve">По направлению (подпрограмме) 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«Патриотическое воспитание граждан Ивнянского района» </w:t>
      </w:r>
      <w:r>
        <w:rPr>
          <w:sz w:val="26"/>
          <w:szCs w:val="26"/>
        </w:rPr>
        <w:t xml:space="preserve">определены ключевые задачи: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Задача 1. «Обеспечено функционирование системы патриотического воспитания граждан Российской Федерации» 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Реализация этой задачи предусматривает осуществление следующих мероприятий: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государственных и муниципальных общеобразовательных организациях проведены мероприятия по обеспечению деятельности советников директора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по воспитанию и взаимодействию с детскими общественными объединениями;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общеобразовательных организациях введены ставки советников директора </w:t>
      </w:r>
      <w:r>
        <w:rPr>
          <w:sz w:val="26"/>
          <w:szCs w:val="26"/>
        </w:rPr>
        <w:t xml:space="preserve">по воспитанию и взаимодействию с детскими общественными объединеньями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обеспечена их деятельность;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введены рабочие программы воспитания обучающихся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в общеобразовательных организациях;</w:t>
      </w:r>
    </w:p>
    <w:p>
      <w:pPr>
        <w:pStyle w:val="af7"/>
        <w:numPr>
          <w:numId w:val="3"/>
          <w:ilvl w:val="0"/>
        </w:numPr>
        <w:tabs>
          <w:tab w:val="left" w:pos="-7230"/>
        </w:tabs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созданы условия для развития системы </w:t>
      </w:r>
      <w:r>
        <w:rPr>
          <w:sz w:val="26"/>
          <w:szCs w:val="26"/>
        </w:rPr>
        <w:t xml:space="preserve">межпоколенческого</w:t>
      </w:r>
      <w:r>
        <w:rPr>
          <w:sz w:val="26"/>
          <w:szCs w:val="26"/>
        </w:rPr>
        <w:t xml:space="preserve"> взаимодействия и обеспечение преемственности поколений, поддержки общественных инициатив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проектов, направленных на гражданское и патриотическое воспитание детей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молодежи.</w:t>
      </w:r>
    </w:p>
    <w:p>
      <w:pPr>
        <w:pStyle w:val="af7"/>
        <w:ind w:left="0" w:firstLine="851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Задача 2. </w:t>
      </w:r>
      <w:bookmarkStart w:id="7" w:name="_Hlk181801145"/>
      <w:r>
        <w:rPr>
          <w:sz w:val="26"/>
          <w:szCs w:val="26"/>
        </w:rPr>
        <w:t xml:space="preserve">«Развитие военно-патриотического воспитания граждан, укрепление престижа службы в Вооруженных Силах Российской Федерации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правоохранительных органах</w:t>
      </w:r>
      <w:bookmarkEnd w:id="6"/>
      <w:bookmarkEnd w:id="7"/>
      <w:r>
        <w:rPr>
          <w:sz w:val="26"/>
          <w:szCs w:val="26"/>
        </w:rPr>
        <w:t xml:space="preserve">».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Реализация этой задачи предусматривает осуществление следующих мероприятий:</w:t>
      </w:r>
    </w:p>
    <w:p>
      <w:pPr>
        <w:pStyle w:val="af7"/>
        <w:numPr>
          <w:numId w:val="10"/>
          <w:ilvl w:val="0"/>
        </w:numPr>
        <w:tabs>
          <w:tab w:val="left" w:pos="841"/>
        </w:tabs>
        <w:ind w:left="0" w:right="3" w:firstLine="851"/>
        <w:jc w:val="both"/>
        <w:rPr>
          <w:sz w:val="26"/>
          <w:szCs w:val="26"/>
        </w:rPr>
      </w:pPr>
      <w:bookmarkStart w:id="8" w:name="_Hlk181801254"/>
      <w:r>
        <w:rPr>
          <w:sz w:val="26"/>
          <w:szCs w:val="26"/>
        </w:rPr>
        <w:t xml:space="preserve">содействие федеральным органам исполнительной власти, в которых законодательством предусмотрена военная служба, и региональным органам власти, общественным организациям и объединениям патриотической направленности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в создании и функционировании оборонно-спортивных лагерей, военно-патриотических и военно-исторических клубов, в проведении военно- спортивных игр и организации поисковой работы;</w:t>
      </w:r>
    </w:p>
    <w:p>
      <w:pPr>
        <w:pStyle w:val="af7"/>
        <w:numPr>
          <w:numId w:val="10"/>
          <w:ilvl w:val="0"/>
        </w:numPr>
        <w:tabs>
          <w:tab w:val="left" w:pos="841"/>
        </w:tabs>
        <w:ind w:left="0" w:right="3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укрепление и развитие общенационального сознания, высокой нравственности, гражданской солидарности россиян, воспитанию у граждан чувства гордости за исторические и современные достижения страны, уважению к культуре, традициям и истории Белгородской области, Ивнянского района и России в целом, улучшению межэтнических и межконфессиональных отношений, воспитанию граждан в духе уважения к Конституции Российской Федерации, законности, нормам социальной жизни, содействию созданию условий для реализации конституционных прав человека, его обязанностей, гражданского и воинского долга;</w:t>
      </w:r>
    </w:p>
    <w:p>
      <w:pPr>
        <w:pStyle w:val="af7"/>
        <w:numPr>
          <w:numId w:val="10"/>
          <w:ilvl w:val="0"/>
        </w:numPr>
        <w:tabs>
          <w:tab w:val="left" w:pos="841"/>
        </w:tabs>
        <w:ind w:left="0" w:right="3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активизация интереса к изучению истории России, Белгородской области, Ивнянского района и формированию чувства уважения к прошлому нашей малой Родины, ее героическим страницам, в том числе сохранение памяти о подвигах защитников Отечества;</w:t>
      </w:r>
    </w:p>
    <w:p>
      <w:pPr>
        <w:pStyle w:val="af7"/>
        <w:numPr>
          <w:numId w:val="10"/>
          <w:ilvl w:val="0"/>
        </w:numPr>
        <w:tabs>
          <w:tab w:val="left" w:pos="841"/>
        </w:tabs>
        <w:ind w:left="0" w:right="3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улучшение взаимодействия органов государственной власти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и гражданского общества в развитии основ патриотического воспитания;</w:t>
      </w:r>
    </w:p>
    <w:p>
      <w:pPr>
        <w:pStyle w:val="af7"/>
        <w:numPr>
          <w:numId w:val="10"/>
          <w:ilvl w:val="0"/>
        </w:numPr>
        <w:tabs>
          <w:tab w:val="left" w:pos="841"/>
        </w:tabs>
        <w:ind w:left="0" w:right="3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 спортивно-патриотического воспитания, создание условий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для увеличения численности молод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жи, успешно выполнившей нормативы Всероссийского физкультурно-спортивного комплекса «Готов к труду и обороне» (ГТО).</w:t>
      </w:r>
    </w:p>
    <w:bookmarkEnd w:id="8"/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Финансирование данного основного мероприятия осуществляется за сч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т средств местного бюджета.</w:t>
      </w:r>
    </w:p>
    <w:p>
      <w:pPr>
        <w:pStyle w:val="af7"/>
        <w:ind w:left="0" w:firstLine="851"/>
        <w:jc w:val="both"/>
        <w:rPr>
          <w:sz w:val="26"/>
          <w:szCs w:val="26"/>
        </w:rPr>
      </w:pPr>
      <w:bookmarkStart w:id="9" w:name="_Hlk181801402"/>
      <w:r>
        <w:rPr>
          <w:sz w:val="26"/>
          <w:szCs w:val="26"/>
        </w:rPr>
        <w:t xml:space="preserve">По направлению (подпрограмме) 3 «Развитие добровольческого (волонт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рского) движения на территории Ивнянского района» определены ключевые задачи:</w:t>
      </w:r>
    </w:p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Задача 1. Совершенствование форм и методов работы по развитию добровольческого движения, инфраструктуры и механизмов поддержки добровольчества </w:t>
      </w:r>
    </w:p>
    <w:bookmarkEnd w:id="9"/>
    <w:p>
      <w:pPr>
        <w:pStyle w:val="af7"/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Реализация этой задачи предусматривает осуществление следующих мероприятий:</w:t>
      </w:r>
    </w:p>
    <w:p>
      <w:pPr>
        <w:pStyle w:val="af7"/>
        <w:numPr>
          <w:numId w:val="10"/>
          <w:ilvl w:val="0"/>
        </w:numPr>
        <w:tabs>
          <w:tab w:val="left" w:pos="841"/>
        </w:tabs>
        <w:ind w:left="0" w:right="3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развитие системы взаимодействия между волонт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рскими организациями, другими общественными объединениями и иными некоммерческими организациями, и органами местного самоуправления;</w:t>
      </w:r>
    </w:p>
    <w:p>
      <w:pPr>
        <w:pStyle w:val="af7"/>
        <w:numPr>
          <w:numId w:val="10"/>
          <w:ilvl w:val="0"/>
        </w:numPr>
        <w:tabs>
          <w:tab w:val="left" w:pos="909"/>
        </w:tabs>
        <w:ind w:left="0" w:right="3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расширение участия общественных и некоммерческих организаций </w:t>
      </w:r>
      <w:r>
        <w:rPr>
          <w:sz w:val="26"/>
          <w:szCs w:val="26"/>
        </w:rPr>
        <w:br/>
        <w:t xml:space="preserve">в добровольческой деятельности.</w:t>
      </w:r>
    </w:p>
    <w:p>
      <w:pPr>
        <w:spacing w:after="0" w:line="252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комплексу процессных мероприятий «Обеспечение деятельности </w:t>
      </w:r>
      <w:r>
        <w:rPr>
          <w:rFonts w:ascii="Times New Roman" w:hAnsi="Times New Roman"/>
          <w:sz w:val="26"/>
          <w:szCs w:val="26"/>
        </w:rPr>
        <w:br/>
        <w:t xml:space="preserve">МКУ «</w:t>
      </w:r>
      <w:r>
        <w:rPr>
          <w:rFonts w:ascii="Times New Roman" w:hAnsi="Times New Roman"/>
          <w:sz w:val="26"/>
          <w:szCs w:val="26"/>
        </w:rPr>
        <w:t xml:space="preserve">УМПТиС</w:t>
      </w:r>
      <w:r>
        <w:rPr>
          <w:rFonts w:ascii="Times New Roman" w:hAnsi="Times New Roman"/>
          <w:sz w:val="26"/>
          <w:szCs w:val="26"/>
        </w:rPr>
        <w:t xml:space="preserve">» Ивнянского района», не входящему в направления (программы), определена ключевая задача: </w:t>
      </w:r>
    </w:p>
    <w:p>
      <w:pPr>
        <w:pStyle w:val="af7"/>
        <w:numPr>
          <w:numId w:val="10"/>
          <w:ilvl w:val="0"/>
        </w:numPr>
        <w:tabs>
          <w:tab w:val="left" w:pos="909"/>
        </w:tabs>
        <w:ind w:left="0" w:right="3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исполнение муниципальных функций МКУ «</w:t>
      </w:r>
      <w:r>
        <w:rPr>
          <w:sz w:val="26"/>
          <w:szCs w:val="26"/>
        </w:rPr>
        <w:t xml:space="preserve">УМПТиС</w:t>
      </w:r>
      <w:r>
        <w:rPr>
          <w:sz w:val="26"/>
          <w:szCs w:val="26"/>
        </w:rPr>
        <w:t xml:space="preserve">» администрации Ивнянского района в соответствии с действующим законодательством, способом эффективного решения которого является обеспечения деятельности МКУ «</w:t>
      </w:r>
      <w:r>
        <w:rPr>
          <w:sz w:val="26"/>
          <w:szCs w:val="26"/>
        </w:rPr>
        <w:t xml:space="preserve">УМПТиС</w:t>
      </w:r>
      <w:r>
        <w:rPr>
          <w:sz w:val="26"/>
          <w:szCs w:val="26"/>
        </w:rPr>
        <w:t xml:space="preserve">» администрации Ивнянского района.</w:t>
      </w:r>
      <w:r>
        <w:rPr>
          <w:sz w:val="26"/>
          <w:szCs w:val="26"/>
        </w:rPr>
        <w:t xml:space="preserve"> </w:t>
      </w:r>
    </w:p>
    <w:p>
      <w:pPr>
        <w:pStyle w:val="af7"/>
        <w:ind w:left="0" w:right="3"/>
        <w:jc w:val="center"/>
        <w:rPr>
          <w:sz w:val="26"/>
          <w:szCs w:val="26"/>
        </w:rPr>
      </w:pPr>
    </w:p>
    <w:p>
      <w:pPr>
        <w:spacing w:after="0" w:line="360" w:lineRule="auto"/>
        <w:jc w:val="both"/>
        <w:rPr>
          <w:color w:val="ff0000"/>
          <w:w w:val="105"/>
        </w:rPr>
        <w:sectPr>
          <w:headerReference w:type="default" r:id="rId9"/>
          <w:pgSz w:w="11906" w:h="16838"/>
          <w:pgMar w:top="1134" w:right="567" w:bottom="1134" w:left="1701" w:header="709" w:footer="0" w:gutter="0"/>
          <w:pgNumType w:start="1"/>
          <w:cols w:space="720"/>
          <w:docGrid w:linePitch="360"/>
          <w:titlePg/>
        </w:sectPr>
      </w:pPr>
    </w:p>
    <w:p>
      <w:pPr>
        <w:spacing w:after="0" w:line="240" w:lineRule="auto"/>
        <w:ind w:right="962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УТВЕРЖДЕН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</w:t>
      </w:r>
      <w:r>
        <w:rPr>
          <w:rFonts w:ascii="Times New Roman" w:hAnsi="Times New Roman"/>
          <w:b/>
          <w:sz w:val="26"/>
          <w:szCs w:val="26"/>
        </w:rPr>
        <w:t xml:space="preserve">остановлением администрации</w:t>
      </w:r>
    </w:p>
    <w:p>
      <w:pPr>
        <w:spacing w:after="0" w:line="240" w:lineRule="auto"/>
        <w:ind w:right="678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Ивнянск</w:t>
      </w:r>
      <w:r>
        <w:rPr>
          <w:rFonts w:ascii="Times New Roman" w:hAnsi="Times New Roman"/>
          <w:b/>
          <w:sz w:val="26"/>
          <w:szCs w:val="26"/>
        </w:rPr>
        <w:t xml:space="preserve">ого</w:t>
      </w:r>
      <w:r>
        <w:rPr>
          <w:rFonts w:ascii="Times New Roman" w:hAnsi="Times New Roman"/>
          <w:b/>
          <w:sz w:val="26"/>
          <w:szCs w:val="26"/>
        </w:rPr>
        <w:t xml:space="preserve"> район</w:t>
      </w:r>
      <w:r>
        <w:rPr>
          <w:rFonts w:ascii="Times New Roman" w:hAnsi="Times New Roman"/>
          <w:b/>
          <w:sz w:val="26"/>
          <w:szCs w:val="26"/>
        </w:rPr>
        <w:t xml:space="preserve">а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«___» ___________ 2024 №_______</w:t>
      </w:r>
    </w:p>
    <w:p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 А С П О Р Т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</w:t>
      </w:r>
      <w:r>
        <w:rPr>
          <w:rFonts w:ascii="Times New Roman" w:hAnsi="Times New Roman"/>
          <w:b/>
          <w:sz w:val="26"/>
          <w:szCs w:val="26"/>
        </w:rPr>
        <w:t xml:space="preserve">униципальной </w:t>
      </w:r>
      <w:r>
        <w:rPr>
          <w:rFonts w:ascii="Times New Roman" w:hAnsi="Times New Roman"/>
          <w:b/>
          <w:sz w:val="26"/>
          <w:szCs w:val="26"/>
        </w:rPr>
        <w:t xml:space="preserve">программы </w:t>
      </w:r>
    </w:p>
    <w:p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</w:t>
      </w:r>
      <w:r>
        <w:rPr>
          <w:rFonts w:ascii="Times New Roman" w:hAnsi="Times New Roman"/>
          <w:b/>
          <w:sz w:val="26"/>
          <w:szCs w:val="26"/>
        </w:rPr>
        <w:t xml:space="preserve">Развитие молод</w:t>
      </w:r>
      <w:r>
        <w:rPr>
          <w:rFonts w:ascii="Times New Roman" w:hAnsi="Times New Roman"/>
          <w:b/>
          <w:sz w:val="26"/>
          <w:szCs w:val="26"/>
        </w:rPr>
        <w:t xml:space="preserve">е</w:t>
      </w:r>
      <w:r>
        <w:rPr>
          <w:rFonts w:ascii="Times New Roman" w:hAnsi="Times New Roman"/>
          <w:b/>
          <w:sz w:val="26"/>
          <w:szCs w:val="26"/>
        </w:rPr>
        <w:t xml:space="preserve">жной политики на территории Ивнянского района</w:t>
      </w:r>
      <w:r>
        <w:rPr>
          <w:rFonts w:ascii="Times New Roman" w:hAnsi="Times New Roman"/>
          <w:b/>
          <w:sz w:val="26"/>
          <w:szCs w:val="26"/>
        </w:rPr>
        <w:t xml:space="preserve">»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1. </w:t>
      </w:r>
      <w:r>
        <w:rPr>
          <w:rFonts w:ascii="Times New Roman" w:hAnsi="Times New Roman"/>
          <w:b/>
          <w:sz w:val="26"/>
          <w:szCs w:val="26"/>
        </w:rPr>
        <w:t xml:space="preserve">Основные положения</w:t>
      </w:r>
    </w:p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tbl>
      <w:tblPr>
        <w:tblW w:w="16584" w:type="dxa"/>
        <w:tblInd w:w="-856" w:type="dxa"/>
        <w:tblLook w:val="01E0" w:firstRow="1" w:lastRow="1" w:firstColumn="1" w:lastColumn="1" w:noHBand="0" w:noVBand="0"/>
      </w:tblPr>
      <w:tblGrid>
        <w:gridCol w:w="4371"/>
        <w:gridCol w:w="5954"/>
        <w:gridCol w:w="5127"/>
        <w:gridCol w:w="1132"/>
      </w:tblGrid>
      <w:tr>
        <w:trPr>
          <w:gridAfter w:val="1"/>
          <w:trHeight w:val="228"/>
        </w:trPr>
        <w:tc>
          <w:tcPr>
            <w:tcW w:w="4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Куратор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муниципальной)программы</w:t>
            </w:r>
          </w:p>
        </w:tc>
        <w:tc>
          <w:tcPr>
            <w:tcW w:w="1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Абраменко Татьяна Викторовна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, заместитель главы администрации муниципального района «Ивнянский район» по социально-культурному развитию</w:t>
            </w:r>
          </w:p>
        </w:tc>
      </w:tr>
      <w:tr>
        <w:trPr>
          <w:gridAfter w:val="1"/>
          <w:trHeight w:val="423"/>
        </w:trPr>
        <w:tc>
          <w:tcPr>
            <w:tcW w:w="4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Ответственный исполнитель муниципальной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программы</w:t>
            </w:r>
          </w:p>
        </w:tc>
        <w:tc>
          <w:tcPr>
            <w:tcW w:w="1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Быкова Елена Юрьевна (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МКУ «Управление молод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е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жной политики, туризма и спорта администрации муниципального района «Ивнянский район» Белгородской области»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)</w:t>
            </w:r>
          </w:p>
        </w:tc>
      </w:tr>
      <w:tr>
        <w:trPr>
          <w:gridAfter w:val="1"/>
          <w:trHeight w:val="192"/>
        </w:trPr>
        <w:tc>
          <w:tcPr>
            <w:tcW w:w="4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Период реализации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муниципальной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программы</w:t>
            </w:r>
          </w:p>
        </w:tc>
        <w:tc>
          <w:tcPr>
            <w:tcW w:w="1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Реализация муниципальной прогр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аммы осуществляется в один этап – 2025 – 2030 годы</w:t>
            </w:r>
          </w:p>
        </w:tc>
      </w:tr>
      <w:tr>
        <w:trPr>
          <w:gridAfter w:val="1"/>
          <w:trHeight w:val="278"/>
        </w:trPr>
        <w:tc>
          <w:tcPr>
            <w:tcW w:w="437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Цели муниципальной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программы </w:t>
            </w:r>
          </w:p>
        </w:tc>
        <w:tc>
          <w:tcPr>
            <w:tcW w:w="1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Цель 1: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Вовлечение молодых людей Ивнянского района в общественную деятельность, а также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с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>
        <w:trPr>
          <w:gridAfter w:val="1"/>
          <w:trHeight w:val="286"/>
        </w:trPr>
        <w:tc>
          <w:tcPr>
            <w:tcW w:w="437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Цель 2: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Развитие в обществе высокой социальной активности, гражданской ответственности, укрепление чувства сопричастности граждан к истории и культуре России, обеспечение преемственности поколений, духовности, становление граждан, обладающих позитивными ценностями и качествами, способных проявить их в созидательном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процессе в интересах Отечества</w:t>
            </w:r>
          </w:p>
        </w:tc>
      </w:tr>
      <w:tr>
        <w:trPr>
          <w:gridAfter w:val="1"/>
          <w:trHeight w:val="286"/>
        </w:trPr>
        <w:tc>
          <w:tcPr>
            <w:tcW w:w="437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Цель 3: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Увеличение доли граждан, занимающихся волонтерской (добровольческой) деятельностью или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вовлеченных в деятельность волон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терских (добровольческих) организаций»</w:t>
            </w:r>
          </w:p>
        </w:tc>
      </w:tr>
      <w:tr>
        <w:trPr>
          <w:gridAfter w:val="1"/>
          <w:trHeight w:val="509"/>
        </w:trPr>
        <w:tc>
          <w:tcPr>
            <w:tcW w:w="43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Направления (подпрограммы)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муниципальной программы</w:t>
            </w:r>
          </w:p>
        </w:tc>
        <w:tc>
          <w:tcPr>
            <w:tcW w:w="1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Направление (подпрограмма) 1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.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Молод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е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жь Ивнянского района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» 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Направлен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ие (подпрограмма) 2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.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Патриотическое воспитание граждан Ивнянского района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»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Направлен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ие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(подпрограмма) 3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.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«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Развитие добровольческого (волонт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е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рского) движения на территории Ивнянского района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»</w:t>
            </w:r>
          </w:p>
        </w:tc>
      </w:tr>
      <w:tr>
        <w:trPr>
          <w:gridAfter w:val="1"/>
          <w:trHeight w:val="72"/>
        </w:trPr>
        <w:tc>
          <w:tcPr>
            <w:tcW w:w="43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Объемы финансового обеспечения за весь период реализации</w:t>
            </w:r>
          </w:p>
        </w:tc>
        <w:tc>
          <w:tcPr>
            <w:tcW w:w="59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Источник финансового обеспечения</w:t>
            </w:r>
          </w:p>
        </w:tc>
        <w:tc>
          <w:tcPr>
            <w:tcW w:w="5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Объем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финансового обеспечения, тыс. рублей</w:t>
            </w:r>
          </w:p>
        </w:tc>
      </w:tr>
      <w:tr>
        <w:trPr>
          <w:gridAfter w:val="1"/>
          <w:trHeight w:val="58"/>
        </w:trPr>
        <w:tc>
          <w:tcPr>
            <w:tcW w:w="4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Всего по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Муниципальной программы Ивнянского района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, в том числе:</w:t>
            </w:r>
          </w:p>
        </w:tc>
        <w:tc>
          <w:tcPr>
            <w:tcW w:w="5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53823,9</w:t>
            </w:r>
          </w:p>
        </w:tc>
      </w:tr>
      <w:tr>
        <w:trPr>
          <w:gridAfter w:val="1"/>
          <w:trHeight w:val="58"/>
        </w:trPr>
        <w:tc>
          <w:tcPr>
            <w:tcW w:w="4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- </w:t>
            </w:r>
            <w:bookmarkStart w:id="10" w:name="_Hlk181773080"/>
            <w:r>
              <w:rPr>
                <w:rFonts w:ascii="Times New Roman" w:hAnsi="Times New Roman"/>
                <w:sz w:val="18"/>
                <w:szCs w:val="20"/>
              </w:rPr>
              <w:t xml:space="preserve">межбюджетные трансферты из федерального бюджета </w:t>
            </w:r>
            <w:bookmarkEnd w:id="10"/>
            <w:r>
              <w:rPr>
                <w:rFonts w:ascii="Times New Roman" w:hAnsi="Times New Roman"/>
                <w:sz w:val="18"/>
                <w:szCs w:val="20"/>
              </w:rPr>
              <w:t xml:space="preserve">(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)</w:t>
            </w:r>
          </w:p>
        </w:tc>
        <w:tc>
          <w:tcPr>
            <w:tcW w:w="5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20055,9</w:t>
            </w:r>
          </w:p>
        </w:tc>
      </w:tr>
      <w:tr>
        <w:trPr>
          <w:gridAfter w:val="1"/>
          <w:trHeight w:val="58"/>
        </w:trPr>
        <w:tc>
          <w:tcPr>
            <w:tcW w:w="4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справочно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)</w:t>
            </w:r>
          </w:p>
        </w:tc>
        <w:tc>
          <w:tcPr>
            <w:tcW w:w="5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3798,8</w:t>
            </w:r>
          </w:p>
        </w:tc>
      </w:tr>
      <w:tr>
        <w:trPr>
          <w:gridAfter w:val="1"/>
          <w:trHeight w:val="58"/>
        </w:trPr>
        <w:tc>
          <w:tcPr>
            <w:tcW w:w="4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- местный бюджет</w:t>
            </w:r>
          </w:p>
        </w:tc>
        <w:tc>
          <w:tcPr>
            <w:tcW w:w="5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gridAfter w:val="1"/>
          <w:trHeight w:val="58"/>
        </w:trPr>
        <w:tc>
          <w:tcPr>
            <w:tcW w:w="43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595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- внебюджетные источники</w:t>
            </w:r>
          </w:p>
        </w:tc>
        <w:tc>
          <w:tcPr>
            <w:tcW w:w="5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</w:tr>
      <w:tr>
        <w:trPr>
          <w:trHeight w:val="77"/>
        </w:trPr>
        <w:tc>
          <w:tcPr>
            <w:tcW w:w="43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Связь с национальными целями развития Российской Федерации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государственной программой Белгородской области</w:t>
            </w:r>
          </w:p>
        </w:tc>
        <w:tc>
          <w:tcPr>
            <w:tcW w:w="1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1.Национальная цель «Реализация потенциала каждого человека, его талантов, воспитание патриотичной и социально ответственной личности». Показатель национальной цели: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Показатель 1 «Создание к 2030 году условий для воспитания гармонично развитой, патриотичной и социально ответственной личности </w:t>
            </w:r>
            <w:r>
              <w:rPr>
                <w:rFonts w:ascii="Times New Roman" w:hAnsi="Times New Roman"/>
                <w:sz w:val="18"/>
                <w:szCs w:val="20"/>
              </w:rPr>
              <w:br/>
            </w:r>
            <w:r>
              <w:rPr>
                <w:rFonts w:ascii="Times New Roman" w:hAnsi="Times New Roman"/>
                <w:sz w:val="18"/>
                <w:szCs w:val="20"/>
              </w:rPr>
              <w:t xml:space="preserve">на основе традиционных российских духовно-нравственных и культурно-исторических ценностей»; показатель 2 «Увеличение к 2030 году доли молодых людей, вовлеченных в добровольческую и общественную деятельность, не менее чем до 45 процентов»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Государственная программа Белгородской области «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Патриотическое и духовно-нравственное воспитание молодежи Белгородской области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Показатель 1.</w:t>
            </w:r>
            <w:r>
              <w:t xml:space="preserve">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Число молодежи, задействованной в мероприятиях по вовлечению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в творческую деятельность;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Показатель 2. Число молодежи, задействованных в мероприятиях патриотической направленности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;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Показатель 3.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Общая численность граждан, вовлеченных центрами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(сообществами, объединениями) поддержки добровольчества (волонт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е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рства) на базе образовательных организаций,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некоммерческих организаций, государственных и муниципальных учреждений,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20"/>
              </w:rPr>
              <w:br/>
            </w:r>
            <w:r>
              <w:rPr>
                <w:rFonts w:ascii="Times New Roman" w:hAnsi="Times New Roman"/>
                <w:sz w:val="18"/>
                <w:szCs w:val="20"/>
              </w:rPr>
              <w:t xml:space="preserve">в добровольческую (волонтерскую деятельность)</w:t>
            </w:r>
          </w:p>
        </w:tc>
        <w:tc>
          <w:tcPr>
            <w:tcW w:w="1132" w:type="dxa"/>
            <w:vAlign w:val="center"/>
          </w:tcPr>
          <w:p/>
        </w:tc>
      </w:tr>
      <w:tr>
        <w:trPr>
          <w:trHeight w:val="77"/>
        </w:trPr>
        <w:tc>
          <w:tcPr>
            <w:tcW w:w="4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Связь с целью развития Белгородской области/стратегическими приоритетами Белгородской области</w:t>
            </w:r>
          </w:p>
        </w:tc>
        <w:tc>
          <w:tcPr>
            <w:tcW w:w="1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Молодежная политика в области проводится в соответствии с областными программ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ами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и подпрограмм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ами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, которые направлены </w:t>
            </w:r>
            <w:r>
              <w:rPr>
                <w:rFonts w:ascii="Times New Roman" w:hAnsi="Times New Roman"/>
                <w:sz w:val="18"/>
                <w:szCs w:val="20"/>
              </w:rPr>
              <w:br/>
            </w:r>
            <w:r>
              <w:rPr>
                <w:rFonts w:ascii="Times New Roman" w:hAnsi="Times New Roman"/>
                <w:sz w:val="18"/>
                <w:szCs w:val="20"/>
              </w:rPr>
              <w:t xml:space="preserve">на осуществление комплексной системы мер по реализации государственной молодежной политики, обеспечение прав и гарантий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самореализации молодежи области, улучшение качества жизни молодежи, осуществление поддержки в решении жилищной проблемы молодых семей области, нуждающихся в улучшении жилищных условий, и других.</w:t>
            </w:r>
          </w:p>
        </w:tc>
        <w:tc>
          <w:tcPr>
            <w:tcW w:w="1132" w:type="dxa"/>
            <w:vAlign w:val="center"/>
          </w:tcPr>
          <w:p/>
        </w:tc>
      </w:tr>
      <w:tr>
        <w:trPr>
          <w:gridAfter w:val="1"/>
          <w:trHeight w:val="77"/>
        </w:trPr>
        <w:tc>
          <w:tcPr>
            <w:tcW w:w="43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Связь с целями развития Ивнянского района / стратегическими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направлениями Ивнянского района</w:t>
            </w:r>
          </w:p>
        </w:tc>
        <w:tc>
          <w:tcPr>
            <w:tcW w:w="110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Первое стратегическое направление «Развитие человеческого капитала муниципального района «Ивнянский район»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, «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Развитие культурного потенциала и воспитание молодого поколения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». Индикатор: «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Доля подростков категории групп социального риска, вовлеченных </w:t>
            </w:r>
            <w:r>
              <w:rPr>
                <w:rFonts w:ascii="Times New Roman" w:hAnsi="Times New Roman"/>
                <w:sz w:val="18"/>
                <w:szCs w:val="20"/>
              </w:rPr>
              <w:br/>
            </w:r>
            <w:r>
              <w:rPr>
                <w:rFonts w:ascii="Times New Roman" w:hAnsi="Times New Roman"/>
                <w:sz w:val="18"/>
                <w:szCs w:val="20"/>
              </w:rPr>
              <w:t xml:space="preserve">в мероприятия по патриотическому и духовно-нравственному воспитанию (%)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», «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Удельный вес молодежи, охваченной мероприятиями молодежной политики, к общему числу молодежи (%)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».</w:t>
            </w:r>
          </w:p>
        </w:tc>
      </w:tr>
    </w:tbl>
    <w:p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p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2. </w:t>
      </w:r>
      <w:r>
        <w:rPr>
          <w:rFonts w:ascii="Times New Roman" w:hAnsi="Times New Roman"/>
          <w:b/>
          <w:sz w:val="26"/>
          <w:szCs w:val="26"/>
        </w:rPr>
        <w:t xml:space="preserve">Показатели муниципальной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программы </w:t>
      </w:r>
    </w:p>
    <w:p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452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985"/>
        <w:gridCol w:w="709"/>
        <w:gridCol w:w="992"/>
        <w:gridCol w:w="997"/>
        <w:gridCol w:w="562"/>
        <w:gridCol w:w="572"/>
        <w:gridCol w:w="562"/>
        <w:gridCol w:w="567"/>
        <w:gridCol w:w="567"/>
        <w:gridCol w:w="567"/>
        <w:gridCol w:w="567"/>
        <w:gridCol w:w="567"/>
        <w:gridCol w:w="1276"/>
        <w:gridCol w:w="1134"/>
        <w:gridCol w:w="1417"/>
        <w:gridCol w:w="1849"/>
      </w:tblGrid>
      <w:tr>
        <w:trPr>
          <w:trHeight w:val="150"/>
        </w:trPr>
        <w:tc>
          <w:tcPr>
            <w:tcW w:w="562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 п/п</w:t>
            </w:r>
          </w:p>
        </w:tc>
        <w:tc>
          <w:tcPr>
            <w:tcW w:w="1985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Наименование показателя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Уровень показателя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Признак возрастания/ убывания</w:t>
            </w:r>
          </w:p>
        </w:tc>
        <w:tc>
          <w:tcPr>
            <w:tcW w:w="997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 (по ОКЕИ)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Базовое значение</w:t>
            </w:r>
          </w:p>
        </w:tc>
        <w:tc>
          <w:tcPr>
            <w:tcW w:w="3397" w:type="dxa"/>
            <w:gridSpan w:val="6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Значение показателя по годам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Документ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Ответственный за достижение показателя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Связь с показателями национальных целей </w:t>
            </w:r>
          </w:p>
        </w:tc>
        <w:tc>
          <w:tcPr>
            <w:tcW w:w="1849" w:type="dxa"/>
            <w:vMerge w:val="restart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Связь с показателями государственных программ Белгородской области</w:t>
            </w:r>
          </w:p>
        </w:tc>
      </w:tr>
      <w:tr>
        <w:trPr>
          <w:trHeight w:val="278"/>
        </w:trPr>
        <w:tc>
          <w:tcPr>
            <w:tcW w:w="562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7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значение</w:t>
            </w:r>
          </w:p>
        </w:tc>
        <w:tc>
          <w:tcPr>
            <w:tcW w:w="57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год</w:t>
            </w:r>
          </w:p>
        </w:tc>
        <w:tc>
          <w:tcPr>
            <w:tcW w:w="56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56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56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56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56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56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1276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849" w:type="dxa"/>
            <w:vMerge w:val="continue"/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>
        <w:trPr>
          <w:trHeight w:val="124"/>
        </w:trPr>
        <w:tc>
          <w:tcPr>
            <w:tcW w:w="56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1985" w:type="dxa"/>
            <w:vAlign w:val="center"/>
          </w:tcPr>
          <w:p>
            <w:pPr>
              <w:pStyle w:val="ab"/>
              <w:spacing w:after="0" w:line="240" w:lineRule="auto"/>
              <w:ind w:left="0" w:right="-21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709" w:type="dxa"/>
            <w:vAlign w:val="center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992" w:type="dxa"/>
            <w:vAlign w:val="center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  <w:tc>
          <w:tcPr>
            <w:tcW w:w="997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56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572" w:type="dxa"/>
            <w:vAlign w:val="center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562" w:type="dxa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567" w:type="dxa"/>
            <w:vAlign w:val="center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  <w:tc>
          <w:tcPr>
            <w:tcW w:w="567" w:type="dxa"/>
            <w:vAlign w:val="center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10</w:t>
            </w:r>
          </w:p>
        </w:tc>
        <w:tc>
          <w:tcPr>
            <w:tcW w:w="567" w:type="dxa"/>
            <w:vAlign w:val="center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11</w:t>
            </w:r>
          </w:p>
        </w:tc>
        <w:tc>
          <w:tcPr>
            <w:tcW w:w="567" w:type="dxa"/>
            <w:vAlign w:val="center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12</w:t>
            </w:r>
          </w:p>
        </w:tc>
        <w:tc>
          <w:tcPr>
            <w:tcW w:w="567" w:type="dxa"/>
            <w:vAlign w:val="center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13</w:t>
            </w:r>
          </w:p>
        </w:tc>
        <w:tc>
          <w:tcPr>
            <w:tcW w:w="1276" w:type="dxa"/>
            <w:vAlign w:val="center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14</w:t>
            </w:r>
          </w:p>
        </w:tc>
        <w:tc>
          <w:tcPr>
            <w:tcW w:w="1134" w:type="dxa"/>
            <w:vAlign w:val="center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15</w:t>
            </w:r>
          </w:p>
        </w:tc>
        <w:tc>
          <w:tcPr>
            <w:tcW w:w="1417" w:type="dxa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16</w:t>
            </w:r>
          </w:p>
        </w:tc>
        <w:tc>
          <w:tcPr>
            <w:tcW w:w="1849" w:type="dxa"/>
          </w:tcPr>
          <w:p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17</w:t>
            </w:r>
          </w:p>
        </w:tc>
      </w:tr>
      <w:tr>
        <w:trPr>
          <w:trHeight w:val="298"/>
        </w:trPr>
        <w:tc>
          <w:tcPr>
            <w:tcW w:w="15452" w:type="dxa"/>
            <w:gridSpan w:val="17"/>
            <w:vAlign w:val="center"/>
          </w:tcPr>
          <w:p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Цель 1. Вовлечение молодых людей Ивнянского района в общественную деятельность, а также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>
        <w:trPr>
          <w:trHeight w:val="372"/>
        </w:trPr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Доля молодых людей в возрасте </w:t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от 14 до 35 лет, охваченной мероприятиями молод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жной политики, по отношению к общему количеству молод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жи района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МП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99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66,6</w:t>
            </w:r>
          </w:p>
        </w:tc>
        <w:tc>
          <w:tcPr>
            <w:tcW w:w="57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70,5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71,0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72,3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73,6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74,9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75,0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Распоряжение Правительства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Российской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Фед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ерации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от 1 октября 2021 г.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№ 2765-р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«УМПТИС»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Условия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для воспитания гармонично развитой и социально ответственной личности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Число молодежи, задействованной в мероприятиях по вовлечению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творческую деятельность</w:t>
            </w:r>
          </w:p>
        </w:tc>
      </w:tr>
      <w:tr>
        <w:trPr>
          <w:trHeight w:val="373"/>
        </w:trPr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Доля молод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жи, вовлеченной в проектную деятельность в различных сферах деятельности, к общему числу молод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жи района. 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МП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99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4,1</w:t>
            </w:r>
          </w:p>
        </w:tc>
        <w:tc>
          <w:tcPr>
            <w:tcW w:w="57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4,3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4,5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4,7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4,8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4,9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5,0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«УМПТИС»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</w:tr>
      <w:tr>
        <w:trPr>
          <w:trHeight w:val="373"/>
        </w:trPr>
        <w:tc>
          <w:tcPr>
            <w:tcW w:w="15452" w:type="dxa"/>
            <w:gridSpan w:val="17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Цель 2.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Развитие в обществе высокой социальной активности, гражданской ответственности, укрепление чувства сопричастности граждан к истории и культуре России, обеспечение преемственности поколений,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Отечества.  </w:t>
            </w:r>
          </w:p>
        </w:tc>
      </w:tr>
      <w:tr>
        <w:trPr>
          <w:trHeight w:val="373"/>
        </w:trPr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2.1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Доля молодых граждан, участвующих в мероприятиях по патриотическому воспитанию, по отношению к общему количеству молод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жи района.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МП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99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82,5</w:t>
            </w:r>
          </w:p>
        </w:tc>
        <w:tc>
          <w:tcPr>
            <w:tcW w:w="57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83,5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83,8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84,1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84,5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84,8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85,0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1.Распоряжение Правительства Российской Федерации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от 1 октября 2021 г.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№ 2765-р.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2.Постановление 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равительства Белгородской области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от 11 июля 2023 г.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№ 371-пп «Об утверждении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Стратегии социально- экономическог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 развития Белгородской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области на период 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 2030 года»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«УМПТИС»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 Увеличение количества молодых людей, участвующих в мероприятиях патриотической направленности, до 139 тыс. чел. к 2024 году (с 56 тыс. чел. в 2020 году).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2. Доля граждан Российской Федерации, вовлеченных в систему патриотического воспитания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9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Число молодежи, задействованных в мероприятиях патриотической направленности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96"/>
        </w:trPr>
        <w:tc>
          <w:tcPr>
            <w:tcW w:w="15452" w:type="dxa"/>
            <w:gridSpan w:val="17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Цель 3. 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организаций»</w:t>
            </w:r>
          </w:p>
        </w:tc>
      </w:tr>
      <w:tr>
        <w:trPr>
          <w:trHeight w:val="373"/>
        </w:trPr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3.1</w:t>
            </w:r>
          </w:p>
        </w:tc>
        <w:tc>
          <w:tcPr>
            <w:tcW w:w="1985" w:type="dxa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Доля молод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жи, вовлеченной в волонт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рскую (добровольческую) деятельность от общего числа количества молод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жи района.</w:t>
            </w:r>
          </w:p>
        </w:tc>
        <w:tc>
          <w:tcPr>
            <w:tcW w:w="709" w:type="dxa"/>
          </w:tcPr>
          <w:p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МП</w:t>
            </w:r>
          </w:p>
        </w:tc>
        <w:tc>
          <w:tcPr>
            <w:tcW w:w="99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99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5,0</w:t>
            </w:r>
          </w:p>
        </w:tc>
        <w:tc>
          <w:tcPr>
            <w:tcW w:w="57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562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5,5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6,0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6,5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7,0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7,5</w:t>
            </w:r>
          </w:p>
        </w:tc>
        <w:tc>
          <w:tcPr>
            <w:tcW w:w="567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8,0</w:t>
            </w:r>
          </w:p>
        </w:tc>
        <w:tc>
          <w:tcPr>
            <w:tcW w:w="1276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Распоряжение Правительства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Российской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Фед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ерации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от 1 октября 2021 г.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№ 2765-р</w:t>
            </w:r>
          </w:p>
        </w:tc>
        <w:tc>
          <w:tcPr>
            <w:tcW w:w="1134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«УМПТИС»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Увеличение доли граждан, занимающихся волонтерской (добровольческой) деятельностью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или вовлеченных в деятельность волонтерских(добровольческих) организаций</w:t>
            </w:r>
          </w:p>
        </w:tc>
        <w:tc>
          <w:tcPr>
            <w:tcW w:w="1849" w:type="dxa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Общая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численность граждан,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вовлеченных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центрами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(сообществами, объединениями) поддержки добровольчества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волонт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рства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на базе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образовательных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организаций,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некоммерческих орган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изаций, государственных и муници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пальных учреждений,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добровольческую (волонтерскую деятельность)</w:t>
            </w:r>
          </w:p>
        </w:tc>
      </w:tr>
    </w:tbl>
    <w:p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3. План достижения показателей </w:t>
      </w:r>
      <w:r>
        <w:rPr>
          <w:rFonts w:ascii="Times New Roman" w:hAnsi="Times New Roman"/>
          <w:b/>
          <w:sz w:val="26"/>
          <w:szCs w:val="26"/>
        </w:rPr>
        <w:t xml:space="preserve">муниципальной</w:t>
      </w:r>
      <w:r>
        <w:rPr>
          <w:rFonts w:ascii="Times New Roman" w:hAnsi="Times New Roman"/>
          <w:b/>
          <w:sz w:val="26"/>
          <w:szCs w:val="26"/>
        </w:rPr>
        <w:t xml:space="preserve"> программы в </w:t>
      </w:r>
      <w:r>
        <w:rPr>
          <w:rFonts w:ascii="Times New Roman" w:hAnsi="Times New Roman"/>
          <w:b/>
          <w:sz w:val="26"/>
          <w:szCs w:val="26"/>
        </w:rPr>
        <w:t xml:space="preserve">2025</w:t>
      </w:r>
      <w:r>
        <w:rPr>
          <w:rFonts w:ascii="Times New Roman" w:hAnsi="Times New Roman"/>
          <w:b/>
          <w:sz w:val="26"/>
          <w:szCs w:val="26"/>
        </w:rPr>
        <w:t xml:space="preserve"> году</w:t>
      </w:r>
    </w:p>
    <w:p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5347" w:type="pct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51"/>
        <w:gridCol w:w="6364"/>
        <w:gridCol w:w="1321"/>
        <w:gridCol w:w="1605"/>
        <w:gridCol w:w="374"/>
        <w:gridCol w:w="374"/>
        <w:gridCol w:w="374"/>
        <w:gridCol w:w="374"/>
        <w:gridCol w:w="374"/>
        <w:gridCol w:w="409"/>
        <w:gridCol w:w="406"/>
        <w:gridCol w:w="374"/>
        <w:gridCol w:w="424"/>
        <w:gridCol w:w="474"/>
        <w:gridCol w:w="496"/>
        <w:gridCol w:w="1510"/>
      </w:tblGrid>
      <w:tr>
        <w:trPr>
          <w:trHeight w:val="64"/>
          <w:tblHeader/>
        </w:trPr>
        <w:tc>
          <w:tcPr>
            <w:tcW w:w="112" w:type="pct"/>
            <w:vMerge w:val="restar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 п/п</w:t>
            </w:r>
          </w:p>
        </w:tc>
        <w:tc>
          <w:tcPr>
            <w:tcW w:w="2039" w:type="pct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Цели/показатели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муниципальной программы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23" w:type="pct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Уровень показателя</w:t>
            </w:r>
          </w:p>
        </w:tc>
        <w:tc>
          <w:tcPr>
            <w:tcW w:w="514" w:type="pct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(по ОКЕИ)</w:t>
            </w:r>
          </w:p>
        </w:tc>
        <w:tc>
          <w:tcPr>
            <w:tcW w:w="1428" w:type="pct"/>
            <w:gridSpan w:val="11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Плановые значения по месяцам</w:t>
            </w:r>
          </w:p>
        </w:tc>
        <w:tc>
          <w:tcPr>
            <w:tcW w:w="484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 конец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года</w:t>
            </w:r>
          </w:p>
        </w:tc>
      </w:tr>
      <w:tr>
        <w:trPr>
          <w:trHeight w:val="64"/>
          <w:tblHeader/>
        </w:trPr>
        <w:tc>
          <w:tcPr>
            <w:tcW w:w="112" w:type="pct"/>
            <w:vMerge w:val="continue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039" w:type="pct"/>
            <w:vMerge w:val="continue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3" w:type="pct"/>
            <w:vMerge w:val="continue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4" w:type="pct"/>
            <w:vMerge w:val="continue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0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янв.</w:t>
            </w:r>
          </w:p>
        </w:tc>
        <w:tc>
          <w:tcPr>
            <w:tcW w:w="120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фев.</w:t>
            </w:r>
          </w:p>
        </w:tc>
        <w:tc>
          <w:tcPr>
            <w:tcW w:w="120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март</w:t>
            </w:r>
          </w:p>
        </w:tc>
        <w:tc>
          <w:tcPr>
            <w:tcW w:w="120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апр.</w:t>
            </w:r>
          </w:p>
        </w:tc>
        <w:tc>
          <w:tcPr>
            <w:tcW w:w="120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май</w:t>
            </w:r>
          </w:p>
        </w:tc>
        <w:tc>
          <w:tcPr>
            <w:tcW w:w="131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июнь</w:t>
            </w:r>
          </w:p>
        </w:tc>
        <w:tc>
          <w:tcPr>
            <w:tcW w:w="130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июль</w:t>
            </w:r>
          </w:p>
        </w:tc>
        <w:tc>
          <w:tcPr>
            <w:tcW w:w="120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авг.</w:t>
            </w:r>
          </w:p>
        </w:tc>
        <w:tc>
          <w:tcPr>
            <w:tcW w:w="136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сен.</w:t>
            </w:r>
          </w:p>
        </w:tc>
        <w:tc>
          <w:tcPr>
            <w:tcW w:w="152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окт.</w:t>
            </w:r>
          </w:p>
        </w:tc>
        <w:tc>
          <w:tcPr>
            <w:tcW w:w="157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ноя.</w:t>
            </w:r>
          </w:p>
        </w:tc>
        <w:tc>
          <w:tcPr>
            <w:tcW w:w="484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499"/>
        </w:trPr>
        <w:tc>
          <w:tcPr>
            <w:tcW w:w="112" w:type="pct"/>
            <w:vAlign w:val="center"/>
          </w:tcPr>
          <w:p>
            <w:pPr>
              <w:spacing w:before="60" w:after="6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</w:p>
        </w:tc>
        <w:tc>
          <w:tcPr>
            <w:tcW w:w="4888" w:type="pct"/>
            <w:gridSpan w:val="15"/>
            <w:vAlign w:val="center"/>
          </w:tcPr>
          <w:p>
            <w:pPr>
              <w:spacing w:after="0" w:line="240" w:lineRule="auto"/>
              <w:ind w:right="53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Цель 1.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Вовлечение молодых людей Ивнянского района в общественную деятельность, а также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>
        <w:trPr>
          <w:trHeight w:val="386"/>
        </w:trPr>
        <w:tc>
          <w:tcPr>
            <w:tcW w:w="112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1.1.</w:t>
            </w:r>
          </w:p>
        </w:tc>
        <w:tc>
          <w:tcPr>
            <w:tcW w:w="2039" w:type="pct"/>
            <w:vAlign w:val="center"/>
          </w:tcPr>
          <w:p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Доля молодых людей в возрасте </w:t>
            </w:r>
          </w:p>
          <w:p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от 14 до 35 лет, охваченной мероприятиями молод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жной политики, по отношению к общему количеству молод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жи района</w:t>
            </w:r>
          </w:p>
        </w:tc>
        <w:tc>
          <w:tcPr>
            <w:tcW w:w="423" w:type="pct"/>
            <w:vAlign w:val="center"/>
          </w:tcPr>
          <w:p>
            <w:pPr>
              <w:spacing w:after="0" w:line="24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514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68,3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68,5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68,7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68,9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69,1</w:t>
            </w:r>
          </w:p>
        </w:tc>
        <w:tc>
          <w:tcPr>
            <w:tcW w:w="131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69,3</w:t>
            </w:r>
          </w:p>
        </w:tc>
        <w:tc>
          <w:tcPr>
            <w:tcW w:w="13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69,5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69,7</w:t>
            </w:r>
          </w:p>
        </w:tc>
        <w:tc>
          <w:tcPr>
            <w:tcW w:w="136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69,9</w:t>
            </w:r>
          </w:p>
        </w:tc>
        <w:tc>
          <w:tcPr>
            <w:tcW w:w="152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70,1</w:t>
            </w:r>
          </w:p>
        </w:tc>
        <w:tc>
          <w:tcPr>
            <w:tcW w:w="15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70,3</w:t>
            </w:r>
          </w:p>
        </w:tc>
        <w:tc>
          <w:tcPr>
            <w:tcW w:w="484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70,5</w:t>
            </w:r>
          </w:p>
        </w:tc>
      </w:tr>
      <w:tr>
        <w:trPr>
          <w:trHeight w:val="386"/>
        </w:trPr>
        <w:tc>
          <w:tcPr>
            <w:tcW w:w="112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1.2.</w:t>
            </w:r>
          </w:p>
        </w:tc>
        <w:tc>
          <w:tcPr>
            <w:tcW w:w="2039" w:type="pct"/>
            <w:vAlign w:val="center"/>
          </w:tcPr>
          <w:p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Доля молод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жи, вовлеченной в проектную деятельность в различных сферах деятельности, к общему числу молод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жи района.</w:t>
            </w:r>
          </w:p>
        </w:tc>
        <w:tc>
          <w:tcPr>
            <w:tcW w:w="423" w:type="pct"/>
            <w:vAlign w:val="center"/>
          </w:tcPr>
          <w:p>
            <w:pPr>
              <w:spacing w:after="0" w:line="24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514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3,6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3,68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3,72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3,75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3,78</w:t>
            </w:r>
          </w:p>
        </w:tc>
        <w:tc>
          <w:tcPr>
            <w:tcW w:w="131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3,82</w:t>
            </w:r>
          </w:p>
        </w:tc>
        <w:tc>
          <w:tcPr>
            <w:tcW w:w="13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3,83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3,85</w:t>
            </w:r>
          </w:p>
        </w:tc>
        <w:tc>
          <w:tcPr>
            <w:tcW w:w="136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3,88</w:t>
            </w:r>
          </w:p>
        </w:tc>
        <w:tc>
          <w:tcPr>
            <w:tcW w:w="152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3,9</w:t>
            </w:r>
          </w:p>
        </w:tc>
        <w:tc>
          <w:tcPr>
            <w:tcW w:w="15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3,94</w:t>
            </w:r>
          </w:p>
        </w:tc>
        <w:tc>
          <w:tcPr>
            <w:tcW w:w="484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4,3</w:t>
            </w:r>
          </w:p>
        </w:tc>
      </w:tr>
      <w:tr>
        <w:trPr>
          <w:trHeight w:val="386"/>
        </w:trPr>
        <w:tc>
          <w:tcPr>
            <w:tcW w:w="112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2.</w:t>
            </w:r>
          </w:p>
        </w:tc>
        <w:tc>
          <w:tcPr>
            <w:tcW w:w="4888" w:type="pct"/>
            <w:gridSpan w:val="15"/>
            <w:vAlign w:val="center"/>
          </w:tcPr>
          <w:p>
            <w:pPr>
              <w:spacing w:after="0" w:line="240" w:lineRule="auto"/>
              <w:ind w:right="53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Цель 2.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Развитие в обществе высокой социальной активности, гражданской ответственности, укрепление чувства сопричастности граждан к истории и культуре России, обеспечение преемственности поколений, духовности, становление граждан, обладающих позитивными ценностями и качествами, способных проявить их в созидательном процессе в интересах Отечества</w:t>
            </w:r>
          </w:p>
        </w:tc>
      </w:tr>
      <w:tr>
        <w:trPr>
          <w:trHeight w:val="386"/>
        </w:trPr>
        <w:tc>
          <w:tcPr>
            <w:tcW w:w="112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2.1</w:t>
            </w:r>
          </w:p>
        </w:tc>
        <w:tc>
          <w:tcPr>
            <w:tcW w:w="2039" w:type="pct"/>
            <w:vAlign w:val="center"/>
          </w:tcPr>
          <w:p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Доля молодых граждан, участвующих в мероприятиях по патриотическому воспитанию, по отношению к общему количеству молод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жи района</w:t>
            </w:r>
          </w:p>
        </w:tc>
        <w:tc>
          <w:tcPr>
            <w:tcW w:w="423" w:type="pct"/>
            <w:vAlign w:val="center"/>
          </w:tcPr>
          <w:p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514" w:type="pct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82,78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83,00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83,10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83,15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83,18</w:t>
            </w:r>
          </w:p>
        </w:tc>
        <w:tc>
          <w:tcPr>
            <w:tcW w:w="131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83,20</w:t>
            </w:r>
          </w:p>
        </w:tc>
        <w:tc>
          <w:tcPr>
            <w:tcW w:w="13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83,25</w:t>
            </w:r>
          </w:p>
        </w:tc>
        <w:tc>
          <w:tcPr>
            <w:tcW w:w="12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83,28</w:t>
            </w:r>
          </w:p>
        </w:tc>
        <w:tc>
          <w:tcPr>
            <w:tcW w:w="136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83,30</w:t>
            </w:r>
          </w:p>
        </w:tc>
        <w:tc>
          <w:tcPr>
            <w:tcW w:w="152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83,35</w:t>
            </w:r>
          </w:p>
        </w:tc>
        <w:tc>
          <w:tcPr>
            <w:tcW w:w="15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83,38</w:t>
            </w:r>
          </w:p>
        </w:tc>
        <w:tc>
          <w:tcPr>
            <w:tcW w:w="484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83,5</w:t>
            </w:r>
          </w:p>
        </w:tc>
      </w:tr>
      <w:tr>
        <w:trPr>
          <w:trHeight w:val="386"/>
        </w:trPr>
        <w:tc>
          <w:tcPr>
            <w:tcW w:w="112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3.</w:t>
            </w:r>
          </w:p>
        </w:tc>
        <w:tc>
          <w:tcPr>
            <w:tcW w:w="4888" w:type="pct"/>
            <w:gridSpan w:val="15"/>
            <w:vAlign w:val="center"/>
          </w:tcPr>
          <w:p>
            <w:pPr>
              <w:spacing w:after="0" w:line="240" w:lineRule="auto"/>
              <w:ind w:right="53"/>
              <w:jc w:val="both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Цель 3. </w:t>
            </w:r>
            <w:r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Увеличение доли граждан, занимающихся волонтерской (добровольческой) деятельностью или вовлеченных в деятельность волонтерских (добровольческих) организаций»</w:t>
            </w:r>
          </w:p>
        </w:tc>
      </w:tr>
      <w:tr>
        <w:trPr>
          <w:trHeight w:val="386"/>
        </w:trPr>
        <w:tc>
          <w:tcPr>
            <w:tcW w:w="112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3.1</w:t>
            </w:r>
          </w:p>
        </w:tc>
        <w:tc>
          <w:tcPr>
            <w:tcW w:w="2039" w:type="pct"/>
            <w:vAlign w:val="center"/>
          </w:tcPr>
          <w:p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Доля молод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жи, вовлеченной в волонт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рскую (добровольческую) деятельность от общего числа количества молод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 xml:space="preserve">жи района</w:t>
            </w:r>
          </w:p>
        </w:tc>
        <w:tc>
          <w:tcPr>
            <w:tcW w:w="423" w:type="pct"/>
            <w:vAlign w:val="center"/>
          </w:tcPr>
          <w:p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514" w:type="pct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20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10</w:t>
            </w:r>
          </w:p>
        </w:tc>
        <w:tc>
          <w:tcPr>
            <w:tcW w:w="120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10</w:t>
            </w:r>
          </w:p>
        </w:tc>
        <w:tc>
          <w:tcPr>
            <w:tcW w:w="120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15</w:t>
            </w:r>
          </w:p>
        </w:tc>
        <w:tc>
          <w:tcPr>
            <w:tcW w:w="120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18</w:t>
            </w:r>
          </w:p>
        </w:tc>
        <w:tc>
          <w:tcPr>
            <w:tcW w:w="120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5,20</w:t>
            </w:r>
          </w:p>
        </w:tc>
        <w:tc>
          <w:tcPr>
            <w:tcW w:w="131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5,25</w:t>
            </w:r>
          </w:p>
        </w:tc>
        <w:tc>
          <w:tcPr>
            <w:tcW w:w="130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5,28</w:t>
            </w:r>
          </w:p>
        </w:tc>
        <w:tc>
          <w:tcPr>
            <w:tcW w:w="120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5,30</w:t>
            </w:r>
          </w:p>
        </w:tc>
        <w:tc>
          <w:tcPr>
            <w:tcW w:w="136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5,35</w:t>
            </w:r>
          </w:p>
        </w:tc>
        <w:tc>
          <w:tcPr>
            <w:tcW w:w="152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5,40</w:t>
            </w:r>
          </w:p>
        </w:tc>
        <w:tc>
          <w:tcPr>
            <w:tcW w:w="157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5,45</w:t>
            </w:r>
          </w:p>
        </w:tc>
        <w:tc>
          <w:tcPr>
            <w:tcW w:w="484" w:type="pct"/>
            <w:vAlign w:val="center"/>
          </w:tcPr>
          <w:p>
            <w:pPr>
              <w:spacing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5,5</w:t>
            </w:r>
          </w:p>
        </w:tc>
      </w:tr>
    </w:tbl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 w:clear="all"/>
      </w: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4</w:t>
      </w:r>
      <w:r>
        <w:rPr>
          <w:rFonts w:ascii="Times New Roman" w:hAnsi="Times New Roman"/>
          <w:b/>
          <w:sz w:val="26"/>
          <w:szCs w:val="26"/>
        </w:rPr>
        <w:t xml:space="preserve">. </w:t>
      </w:r>
      <w:r>
        <w:rPr>
          <w:rFonts w:ascii="Times New Roman" w:hAnsi="Times New Roman"/>
          <w:b/>
          <w:sz w:val="26"/>
          <w:szCs w:val="26"/>
        </w:rPr>
        <w:t xml:space="preserve">Структура </w:t>
      </w:r>
      <w:r>
        <w:rPr>
          <w:rFonts w:ascii="Times New Roman" w:hAnsi="Times New Roman"/>
          <w:b/>
          <w:sz w:val="26"/>
          <w:szCs w:val="26"/>
        </w:rPr>
        <w:t xml:space="preserve">муниципальной </w:t>
      </w:r>
      <w:r>
        <w:rPr>
          <w:rFonts w:ascii="Times New Roman" w:hAnsi="Times New Roman"/>
          <w:b/>
          <w:sz w:val="26"/>
          <w:szCs w:val="26"/>
        </w:rPr>
        <w:t xml:space="preserve">программы </w:t>
      </w: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452" w:type="dxa"/>
        <w:tblInd w:w="-856" w:type="dxa"/>
        <w:tblLook w:val="01E0" w:firstRow="1" w:lastRow="1" w:firstColumn="1" w:lastColumn="1" w:noHBand="0" w:noVBand="0"/>
      </w:tblPr>
      <w:tblGrid>
        <w:gridCol w:w="817"/>
        <w:gridCol w:w="4980"/>
        <w:gridCol w:w="10"/>
        <w:gridCol w:w="7088"/>
        <w:gridCol w:w="2557"/>
      </w:tblGrid>
      <w:tr>
        <w:trPr>
          <w:trHeight w:val="77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 п/п</w:t>
            </w:r>
          </w:p>
        </w:tc>
        <w:tc>
          <w:tcPr>
            <w:tcW w:w="4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Задачи структурного элемента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Краткое описание ожидаемых эффектов от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реализации задачи структурного элемента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Связь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 показателями</w:t>
            </w:r>
          </w:p>
        </w:tc>
      </w:tr>
      <w:tr>
        <w:trPr>
          <w:trHeight w:val="130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4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</w:tr>
      <w:tr>
        <w:trPr>
          <w:trHeight w:val="134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</w:p>
        </w:tc>
        <w:tc>
          <w:tcPr>
            <w:tcW w:w="14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Направление (подпрограмма) 1: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 Ивнянского района» </w:t>
            </w:r>
          </w:p>
        </w:tc>
      </w:tr>
      <w:tr>
        <w:trPr>
          <w:trHeight w:val="124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1.M.</w:t>
            </w:r>
          </w:p>
        </w:tc>
        <w:tc>
          <w:tcPr>
            <w:tcW w:w="14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Комплекс про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цессных мероприятий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</w:p>
        </w:tc>
      </w:tr>
      <w:tr>
        <w:trPr>
          <w:trHeight w:val="128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МКУ «УМТИС»</w:t>
            </w:r>
          </w:p>
        </w:tc>
        <w:tc>
          <w:tcPr>
            <w:tcW w:w="9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Срок реализации: 2025-2030 годы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</w:tr>
      <w:tr>
        <w:trPr>
          <w:trHeight w:val="171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1.M.1</w:t>
            </w:r>
          </w:p>
        </w:tc>
        <w:tc>
          <w:tcPr>
            <w:tcW w:w="4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оздание условий для патриотического и духовно-нравственного воспитания, творческого, интеллектуального и физического развития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жи, реализации 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научно-технического и творческого потенциала, поддержка деятельности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жных и детских общественных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объединений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Проведены мероприятия по повышению охвата молодежными проектами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программами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и информирования молодежи о возможностях, механизмах и путях ее самореализации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«Доля молодых людей в возрасте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от 14 до 35 лет, охваченной мероприятиями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жной политики, по отношению к общему количеству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 района»</w:t>
            </w:r>
          </w:p>
        </w:tc>
      </w:tr>
      <w:tr>
        <w:trPr>
          <w:trHeight w:val="220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</w:t>
            </w:r>
          </w:p>
        </w:tc>
        <w:tc>
          <w:tcPr>
            <w:tcW w:w="14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Направление (подпрограмма)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bookmarkStart w:id="11" w:name="_Hlk180959691"/>
            <w:r>
              <w:rPr>
                <w:rFonts w:ascii="Times New Roman" w:hAnsi="Times New Roman"/>
                <w:sz w:val="16"/>
                <w:szCs w:val="16"/>
              </w:rPr>
              <w:t xml:space="preserve">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Патриотическое воспитание граждан Ивнянского района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</w:t>
            </w:r>
            <w:bookmarkEnd w:id="11"/>
          </w:p>
        </w:tc>
      </w:tr>
      <w:tr>
        <w:trPr>
          <w:trHeight w:val="220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2.М.</w:t>
            </w:r>
          </w:p>
        </w:tc>
        <w:tc>
          <w:tcPr>
            <w:tcW w:w="14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Муниципальный проект «Патриотическое воспитание граждан Российской Федерации», входящий в национальный проект»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(куратор проекта –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Абраменко Т.В.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</w:tr>
      <w:tr>
        <w:trPr>
          <w:trHeight w:val="220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МКУ «УМТИС»</w:t>
            </w:r>
          </w:p>
        </w:tc>
        <w:tc>
          <w:tcPr>
            <w:tcW w:w="7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Срок реализации (2025-2030)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220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2.М.1</w:t>
            </w:r>
          </w:p>
        </w:tc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Обеспечение функционирование системы патриотического воспитания граждан Российской Федерации</w:t>
            </w:r>
          </w:p>
        </w:tc>
        <w:tc>
          <w:tcPr>
            <w:tcW w:w="70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общеобразовательных организациях введены ставки Российской Федерации советников директора по воспитанию и взаимодействию с детскими общественными объединениями и обеспечена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их деятельность. Введены рабочие программы обучающихся в общеобразовательных организациях и профессиональных образовательных организациях. Обеспечено увеличение численности детей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и молодежи в возрасте до 35 лет, вовлеченных в социально активную деятельность через увеличение охвата патриотическими проектами. Созданы условия для развития системы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межпоколенческого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взаимодействия и обеспечения преемственности поколений, поддержки общественных инициатив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и проектов, поддержки общественных инициатив и проектов, направленных на гражданское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и патриотическое воспитание детей и молодежи.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молодых граждан, участвующих в мероприятиях по патриотическому воспитанию, по отношению к общему количеству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 района</w:t>
            </w:r>
          </w:p>
        </w:tc>
      </w:tr>
      <w:tr>
        <w:trPr>
          <w:trHeight w:val="154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3.М.</w:t>
            </w:r>
          </w:p>
        </w:tc>
        <w:tc>
          <w:tcPr>
            <w:tcW w:w="14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Комплекс про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цессных мероприятий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Гражданское и патриотическое воспитание молодежи Ивнянского района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</w:p>
        </w:tc>
      </w:tr>
      <w:tr>
        <w:trPr>
          <w:trHeight w:val="215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МКУ «УМТИС»</w:t>
            </w:r>
          </w:p>
        </w:tc>
        <w:tc>
          <w:tcPr>
            <w:tcW w:w="9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Срок реализации: 2025-2030 годы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</w:tr>
      <w:tr>
        <w:trPr>
          <w:trHeight w:val="342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3.М.1</w:t>
            </w:r>
          </w:p>
        </w:tc>
        <w:tc>
          <w:tcPr>
            <w:tcW w:w="4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Развитие военно-патриотического воспитания граждан, укрепление престижа службы в Вооруженных Силах Российской Федерации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и правоохранительных органах необходимо реализовать основное мероприятие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мероприятия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 увековечению и сохранению исторической памяти, работе с молодежью, находящейся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трудной жизненной ситуации, а также парады, форумы, слеты, акции, конкурсы, военно-спортивные праздники, направленные на гражданское и патриотическое воспитание молодежи региона. Обеспечено вовлечение граждан Белгородской област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 в мероприятия патриотической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направленности.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молодых граждан, участвующих в мероприятиях по патриотическому воспитанию, по отношению к общему количеству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 района</w:t>
            </w:r>
          </w:p>
        </w:tc>
      </w:tr>
      <w:tr>
        <w:trPr>
          <w:trHeight w:val="244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</w:t>
            </w:r>
          </w:p>
        </w:tc>
        <w:tc>
          <w:tcPr>
            <w:tcW w:w="14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Направление (подпрограмма)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bookmarkStart w:id="12" w:name="_Hlk180959760"/>
            <w:r>
              <w:rPr>
                <w:rFonts w:ascii="Times New Roman" w:hAnsi="Times New Roman"/>
                <w:sz w:val="16"/>
                <w:szCs w:val="16"/>
              </w:rPr>
              <w:t xml:space="preserve">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Развитие добровольческого (волонт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рского) движения на территории Ивнянского района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  <w:bookmarkEnd w:id="12"/>
          </w:p>
        </w:tc>
      </w:tr>
      <w:tr>
        <w:trPr>
          <w:trHeight w:val="178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4.М</w:t>
            </w:r>
          </w:p>
        </w:tc>
        <w:tc>
          <w:tcPr>
            <w:tcW w:w="14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Комплекс про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цессных мероприятий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механизмов поддержки, форм и методов работы по развитию добровольческой (волонтерской) деятельности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</w:p>
        </w:tc>
      </w:tr>
      <w:tr>
        <w:trPr>
          <w:trHeight w:val="254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МКУ «УМТИС»</w:t>
            </w:r>
          </w:p>
        </w:tc>
        <w:tc>
          <w:tcPr>
            <w:tcW w:w="9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Срок реализации: 2025-2030 годы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</w:tr>
      <w:tr>
        <w:trPr>
          <w:trHeight w:val="342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4.М.1</w:t>
            </w:r>
          </w:p>
        </w:tc>
        <w:tc>
          <w:tcPr>
            <w:tcW w:w="4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форм и методов работы по развитию добровольческого движения, инфраструктуры и механизмов поддержки добровольчества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 и проведен грантовый конкурс, направленный на создание эффективной системы добровольчества (волонтерства) в регионе.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Обеспечено проведение мероприятий по развитию инфраструктуры поддержки добровольческой деятельности.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Реализованы мероприятия с целью прохождения координаторами добровольцев (волонтеров) курсов (лекций, программ) по работе в сфере добровольчества (волонтерства) и технологиям работы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с добровольцами (волонтерами).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Ежегодно организована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оведена информационная компания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популяризации добровольчества (волонтерства).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Проведены мероприятия в рамках программы повышения мобильности добровольцев региона.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Обеспечено проведение мероприятий, акций, квестов добровольческой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направленности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жи, вовлеченной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в волонт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рскую (добровольческую) деятельность от общего числа количества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 района</w:t>
            </w:r>
          </w:p>
        </w:tc>
      </w:tr>
      <w:tr>
        <w:trPr>
          <w:trHeight w:val="88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</w:t>
            </w:r>
          </w:p>
        </w:tc>
        <w:tc>
          <w:tcPr>
            <w:tcW w:w="14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Структурные элементы, не входящие в направления</w:t>
            </w:r>
          </w:p>
        </w:tc>
      </w:tr>
      <w:tr>
        <w:trPr>
          <w:trHeight w:val="342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5.М.</w:t>
            </w:r>
          </w:p>
        </w:tc>
        <w:tc>
          <w:tcPr>
            <w:tcW w:w="146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Комплекс про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цессных мероприятий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Обеспечение деятельности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Ивнянского района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</w:p>
        </w:tc>
      </w:tr>
      <w:tr>
        <w:trPr>
          <w:trHeight w:val="98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Ответственный за реализацию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МКУ «УМТИС»</w:t>
            </w:r>
          </w:p>
        </w:tc>
        <w:tc>
          <w:tcPr>
            <w:tcW w:w="9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Срок реализации: 2025-2030 годы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</w:tr>
      <w:tr>
        <w:trPr>
          <w:trHeight w:val="342"/>
        </w:trPr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5.М.1</w:t>
            </w:r>
          </w:p>
        </w:tc>
        <w:tc>
          <w:tcPr>
            <w:tcW w:w="4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Исполнение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функций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в соответствии с действующим законодательством</w:t>
            </w:r>
          </w:p>
        </w:tc>
        <w:tc>
          <w:tcPr>
            <w:tcW w:w="7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Выполнение задач по исполнению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функций и оказанию государственных услуг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соответствии с действующим законодательством, обеспечение соблюдения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норм законодательства РФ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закон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одательства БО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</w:tr>
    </w:tbl>
    <w:p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</w:p>
    <w:p>
      <w:pPr>
        <w:spacing w:after="0"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5</w:t>
      </w:r>
      <w:r>
        <w:rPr>
          <w:rFonts w:ascii="Times New Roman" w:hAnsi="Times New Roman"/>
          <w:b/>
          <w:sz w:val="26"/>
          <w:szCs w:val="26"/>
        </w:rPr>
        <w:t xml:space="preserve">. </w:t>
      </w:r>
      <w:r>
        <w:rPr>
          <w:rFonts w:ascii="Times New Roman" w:hAnsi="Times New Roman"/>
          <w:b/>
          <w:sz w:val="26"/>
          <w:szCs w:val="26"/>
        </w:rPr>
        <w:t xml:space="preserve">Финансовое обеспечение </w:t>
      </w:r>
      <w:r>
        <w:rPr>
          <w:rFonts w:ascii="Times New Roman" w:hAnsi="Times New Roman"/>
          <w:b/>
          <w:sz w:val="26"/>
          <w:szCs w:val="26"/>
        </w:rPr>
        <w:t xml:space="preserve">муниципальной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программы</w:t>
      </w: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Таблица 1</w:t>
      </w:r>
    </w:p>
    <w:tbl>
      <w:tblPr>
        <w:tblW w:w="15452" w:type="dxa"/>
        <w:tblInd w:w="-856" w:type="dxa"/>
        <w:tblLayout w:type="fixed"/>
        <w:tblLook w:val="01E0" w:firstRow="1" w:lastRow="1" w:firstColumn="1" w:lastColumn="1" w:noHBand="0" w:noVBand="0"/>
      </w:tblPr>
      <w:tblGrid>
        <w:gridCol w:w="7890"/>
        <w:gridCol w:w="1444"/>
        <w:gridCol w:w="849"/>
        <w:gridCol w:w="821"/>
        <w:gridCol w:w="816"/>
        <w:gridCol w:w="736"/>
        <w:gridCol w:w="816"/>
        <w:gridCol w:w="856"/>
        <w:gridCol w:w="1224"/>
      </w:tblGrid>
      <w:tr>
        <w:trPr>
          <w:trHeight w:val="144"/>
        </w:trPr>
        <w:tc>
          <w:tcPr>
            <w:tcW w:w="78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1444" w:type="dxa"/>
            <w:vMerge w:val="restart"/>
            <w:tcBorders>
              <w:top w:val="single" w:color="000000" w:sz="4" w:space="0"/>
              <w:lef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Код бюджетной классификации»</w:t>
            </w:r>
          </w:p>
        </w:tc>
        <w:tc>
          <w:tcPr>
            <w:tcW w:w="611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Объем финансового обеспечения по годам реализации, тыс. рублей</w:t>
            </w:r>
          </w:p>
        </w:tc>
      </w:tr>
      <w:tr>
        <w:trPr>
          <w:trHeight w:val="112"/>
        </w:trPr>
        <w:tc>
          <w:tcPr>
            <w:tcW w:w="78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4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</w:t>
            </w:r>
          </w:p>
        </w:tc>
      </w:tr>
      <w:tr>
        <w:trPr>
          <w:trHeight w:val="96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</w:tr>
      <w:tr>
        <w:trPr>
          <w:trHeight w:val="298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bookmarkStart w:id="13" w:name="_Hlk181773493"/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Муниципальная программа «Развитие молод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жной политики на территории Ивнянского района» (всего), в том числе:</w:t>
            </w:r>
          </w:p>
        </w:tc>
        <w:tc>
          <w:tcPr>
            <w:tcW w:w="14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 xml:space="preserve">05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5939,3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8025,9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9607,5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9867,5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10079,9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10303,8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53823,9</w:t>
            </w:r>
          </w:p>
        </w:tc>
      </w:tr>
      <w:tr>
        <w:trPr>
          <w:trHeight w:val="11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bookmarkStart w:id="14" w:name="_Hlk181773730"/>
            <w:bookmarkEnd w:id="13"/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939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,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5,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15" w:name="_Hlk181773601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9607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,</w:t>
            </w:r>
            <w:bookmarkEnd w:id="15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16" w:name="_Hlk181773681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9867,5</w:t>
            </w:r>
            <w:bookmarkEnd w:id="16"/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10079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,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17" w:name="_Hlk181773747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10303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,</w:t>
            </w:r>
            <w:bookmarkEnd w:id="17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3823,9</w:t>
            </w:r>
          </w:p>
        </w:tc>
      </w:tr>
      <w:tr>
        <w:trPr>
          <w:trHeight w:val="183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bookmarkStart w:id="18" w:name="_Hlk181773507"/>
            <w:bookmarkEnd w:id="14"/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19" w:name="_Hlk181773138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2413,</w:t>
            </w:r>
            <w:bookmarkEnd w:id="19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2742,0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3690,9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3736,6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3736,6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3736,6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20055,9</w:t>
            </w:r>
          </w:p>
        </w:tc>
      </w:tr>
      <w:tr>
        <w:trPr>
          <w:trHeight w:val="14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bookmarkStart w:id="20" w:name="_Hlk181773784"/>
            <w:bookmarkEnd w:id="18"/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21" w:name="_Hlk181773151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154,</w:t>
            </w:r>
            <w:bookmarkEnd w:id="21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373,9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810,2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820,2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820,2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820,2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3798,8</w:t>
            </w:r>
          </w:p>
        </w:tc>
      </w:tr>
      <w:tr>
        <w:trPr>
          <w:trHeight w:val="185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bookmarkStart w:id="22" w:name="_Hlk181773794"/>
            <w:bookmarkEnd w:id="20"/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23" w:name="_Hlk181773171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3372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,0</w:t>
            </w:r>
            <w:bookmarkEnd w:id="23"/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24" w:name="_Hlk181773551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4910,0</w:t>
            </w:r>
            <w:bookmarkEnd w:id="24"/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25" w:name="_Hlk181773569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5106,4</w:t>
            </w:r>
            <w:bookmarkEnd w:id="25"/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26" w:name="_Hlk181773617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5310,</w:t>
            </w:r>
            <w:bookmarkEnd w:id="26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27" w:name="_Hlk181773697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5523,</w:t>
            </w:r>
            <w:bookmarkEnd w:id="27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5747,0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bookmarkEnd w:id="22"/>
      <w:tr>
        <w:trPr>
          <w:trHeight w:val="132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</w:tr>
      <w:tr>
        <w:trPr>
          <w:trHeight w:val="132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Нераспределенный резерв (местный бюджет)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</w:tr>
      <w:tr>
        <w:trPr>
          <w:trHeight w:val="22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Объем налоговых расходов муниципального образования (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 xml:space="preserve">-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-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-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-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-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-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-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-</w:t>
            </w:r>
          </w:p>
        </w:tc>
      </w:tr>
      <w:tr>
        <w:trPr>
          <w:trHeight w:val="22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Муниципальный проект «Патриотическое воспитание граждан Российской Федерации», входящий в национальный проект» (всего), в том числе:</w:t>
            </w:r>
          </w:p>
        </w:tc>
        <w:tc>
          <w:tcPr>
            <w:tcW w:w="14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 xml:space="preserve">05 1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2567,3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3115,9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4501,1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4556,8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4556,8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4556,8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23854,7</w:t>
            </w:r>
          </w:p>
        </w:tc>
      </w:tr>
      <w:tr>
        <w:trPr>
          <w:trHeight w:val="22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4501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4556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8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4556,8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4556,8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23854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</w:p>
        </w:tc>
      </w:tr>
      <w:tr>
        <w:trPr>
          <w:trHeight w:val="22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2413,2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2742,0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3690,9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3736,6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3736,6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3736,6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20055,9</w:t>
            </w:r>
          </w:p>
        </w:tc>
      </w:tr>
      <w:tr>
        <w:trPr>
          <w:trHeight w:val="22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154,1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373,9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810,2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820,2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820,2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820,2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98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8</w:t>
            </w:r>
          </w:p>
        </w:tc>
      </w:tr>
      <w:tr>
        <w:trPr>
          <w:trHeight w:val="22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8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22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Комплексы процессных мероприятий, в том числе:  </w:t>
            </w:r>
          </w:p>
        </w:tc>
        <w:tc>
          <w:tcPr>
            <w:tcW w:w="14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 xml:space="preserve">05 4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3372,0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4910,0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5106,4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5310,7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5523,1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5747,0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112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3372,0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4910,0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5106,4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5310,7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5523,1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5747,0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22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</w:tr>
      <w:tr>
        <w:trPr>
          <w:trHeight w:val="6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0</w:t>
            </w:r>
          </w:p>
        </w:tc>
      </w:tr>
      <w:tr>
        <w:trPr>
          <w:trHeight w:val="12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3372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4910,0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5106,4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5310,7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5523,1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5747,0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6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3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Комплекс процессных мероприятий «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» (всего), в том числе:</w:t>
            </w:r>
          </w:p>
        </w:tc>
        <w:tc>
          <w:tcPr>
            <w:tcW w:w="14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 xml:space="preserve">05 4 01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139,0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139,0</w:t>
            </w:r>
          </w:p>
        </w:tc>
      </w:tr>
      <w:tr>
        <w:trPr>
          <w:trHeight w:val="20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</w:tr>
      <w:tr>
        <w:trPr>
          <w:trHeight w:val="136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2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4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</w:tr>
      <w:tr>
        <w:trPr>
          <w:trHeight w:val="181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202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Комплекс процессных мероприятий «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Гражданское и патриотическое воспитание молодежи Ивнянского района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» (всего), в том числе:</w:t>
            </w:r>
          </w:p>
        </w:tc>
        <w:tc>
          <w:tcPr>
            <w:tcW w:w="144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 xml:space="preserve">05 4 02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sz w:val="16"/>
                <w:szCs w:val="16"/>
              </w:rPr>
              <w:t xml:space="preserve">90,0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sz w:val="16"/>
                <w:szCs w:val="16"/>
              </w:rPr>
              <w:t xml:space="preserve">90,0</w:t>
            </w:r>
          </w:p>
        </w:tc>
      </w:tr>
      <w:tr>
        <w:trPr>
          <w:trHeight w:val="122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</w:tr>
      <w:tr>
        <w:trPr>
          <w:trHeight w:val="169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</w:tr>
      <w:tr>
        <w:trPr>
          <w:trHeight w:val="7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</w:tr>
      <w:tr>
        <w:trPr>
          <w:trHeight w:val="151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</w:tr>
      <w:tr>
        <w:trPr>
          <w:trHeight w:val="228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</w:tr>
      <w:tr>
        <w:trPr>
          <w:trHeight w:val="228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Нераспределенный резерв (местный бюджет)</w:t>
            </w:r>
          </w:p>
        </w:tc>
        <w:tc>
          <w:tcPr>
            <w:tcW w:w="1444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8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Комплекс процессных мероприятий «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Совершенствование механизмов поддержки, форм и методов работы по развитию добровольческой (волонтерской) деятельности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» (всего), в том числе:</w:t>
            </w:r>
          </w:p>
        </w:tc>
        <w:tc>
          <w:tcPr>
            <w:tcW w:w="14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 xml:space="preserve">05 4 03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16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16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,0</w:t>
            </w:r>
          </w:p>
        </w:tc>
      </w:tr>
      <w:tr>
        <w:trPr>
          <w:trHeight w:val="233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</w:tr>
      <w:tr>
        <w:trPr>
          <w:trHeight w:val="252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5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00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</w:tr>
      <w:tr>
        <w:trPr>
          <w:trHeight w:val="187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Нераспределенный резерв (местный бюджет)</w:t>
            </w:r>
          </w:p>
        </w:tc>
        <w:tc>
          <w:tcPr>
            <w:tcW w:w="14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«Обеспечение деятельности МКУ «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» Ивнянского района»</w:t>
            </w:r>
            <w:r>
              <w:rPr>
                <w:rFonts w:ascii="Times New Roman" w:hAnsi="Times New Roman"/>
                <w:b/>
                <w:bCs/>
                <w:iCs/>
                <w:sz w:val="16"/>
                <w:szCs w:val="16"/>
              </w:rPr>
              <w:t xml:space="preserve"> (всего), в том числе:</w:t>
            </w:r>
          </w:p>
        </w:tc>
        <w:tc>
          <w:tcPr>
            <w:tcW w:w="14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 xml:space="preserve">05 4 04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3127,0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4624,0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4808,9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5001,3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5201,4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5409,4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13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4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3127,0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4624,0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4808,9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5001,3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5201,4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5409,4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13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)</w:t>
            </w:r>
          </w:p>
        </w:tc>
        <w:tc>
          <w:tcPr>
            <w:tcW w:w="14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4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3127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4624,0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4808,9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5001,3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5201,4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5409,4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13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44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34"/>
        </w:trPr>
        <w:tc>
          <w:tcPr>
            <w:tcW w:w="7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Нераспределенный резерв (местный бюджет)</w:t>
            </w:r>
          </w:p>
        </w:tc>
        <w:tc>
          <w:tcPr>
            <w:tcW w:w="14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</w:tbl>
    <w:p>
      <w:r>
        <w:br w:type="page" w:clear="all"/>
      </w:r>
    </w:p>
    <w:p>
      <w:pPr>
        <w:spacing w:after="0" w:line="240" w:lineRule="auto"/>
        <w:ind w:right="962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УТВЕРЖДЕН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постановлением администрации</w:t>
      </w:r>
    </w:p>
    <w:p>
      <w:pPr>
        <w:spacing w:after="0" w:line="240" w:lineRule="auto"/>
        <w:ind w:right="678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Ивнянского района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«___» ___________ 2024 №_______</w:t>
      </w: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ПАСПОРТ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муниципального проекта, входящего в национальный проект «Патриотическое воспитание граждан Российской федерации»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(далее – муниципальный проект)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>
      <w:pPr>
        <w:pStyle w:val="ab"/>
        <w:numPr>
          <w:numId w:val="18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Основные положения</w:t>
      </w: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5347" w:type="pct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9"/>
        <w:gridCol w:w="4151"/>
        <w:gridCol w:w="5184"/>
        <w:gridCol w:w="2690"/>
      </w:tblGrid>
      <w:tr>
        <w:trPr>
          <w:trHeight w:val="20"/>
        </w:trPr>
        <w:tc>
          <w:tcPr>
            <w:tcW w:w="1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Краткое наименование муниципального проекта </w:t>
            </w: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>
            <w:pPr>
              <w:spacing w:after="0" w:line="240" w:lineRule="auto"/>
              <w:outlineLvl w:val="1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Патриотическое воспитание граждан Российской Федерации</w:t>
            </w:r>
          </w:p>
        </w:tc>
        <w:tc>
          <w:tcPr>
            <w:tcW w:w="1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Срок реализации проекта</w:t>
            </w:r>
          </w:p>
        </w:tc>
        <w:tc>
          <w:tcPr>
            <w:tcW w:w="8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2025-2030</w:t>
            </w:r>
          </w:p>
        </w:tc>
      </w:tr>
      <w:tr>
        <w:trPr>
          <w:trHeight w:val="20"/>
        </w:trPr>
        <w:tc>
          <w:tcPr>
            <w:tcW w:w="1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Куратор муниципального проекта</w:t>
            </w: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Абраменко Т.В.</w:t>
            </w:r>
          </w:p>
        </w:tc>
        <w:tc>
          <w:tcPr>
            <w:tcW w:w="25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widowControl w:val="off"/>
              <w:spacing w:after="0" w:line="240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Заместитель главы администрации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Ивнянского района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по социально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-культурному развитию</w:t>
            </w:r>
          </w:p>
        </w:tc>
      </w:tr>
      <w:tr>
        <w:trPr>
          <w:trHeight w:val="20"/>
        </w:trPr>
        <w:tc>
          <w:tcPr>
            <w:tcW w:w="1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Руководитель муниципального проекта </w:t>
            </w: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Быкова Е.Ю.</w:t>
            </w:r>
          </w:p>
        </w:tc>
        <w:tc>
          <w:tcPr>
            <w:tcW w:w="25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Директор МКУ «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УМПТиС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» администрации Ивнянского района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</w:t>
            </w:r>
          </w:p>
        </w:tc>
      </w:tr>
      <w:tr>
        <w:trPr>
          <w:trHeight w:val="158"/>
        </w:trPr>
        <w:tc>
          <w:tcPr>
            <w:tcW w:w="1147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Администратор муниципального проекта</w:t>
            </w: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Польская А.И.</w:t>
            </w:r>
          </w:p>
        </w:tc>
        <w:tc>
          <w:tcPr>
            <w:tcW w:w="2523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Начальник отдела молодежной политики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МКУ «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УМПТиС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» администрации Ивнянского района</w:t>
            </w:r>
          </w:p>
        </w:tc>
      </w:tr>
      <w:tr>
        <w:trPr>
          <w:trHeight w:val="20"/>
        </w:trPr>
        <w:tc>
          <w:tcPr>
            <w:tcW w:w="1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Соисполнитель муниципального проекта</w:t>
            </w: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Билецкая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Т.Д.</w:t>
            </w:r>
          </w:p>
        </w:tc>
        <w:tc>
          <w:tcPr>
            <w:tcW w:w="25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Начальник МКУ «Управление образования» администрации Ивнянского района</w:t>
            </w:r>
          </w:p>
        </w:tc>
      </w:tr>
      <w:tr>
        <w:trPr>
          <w:trHeight w:val="20"/>
        </w:trPr>
        <w:tc>
          <w:tcPr>
            <w:tcW w:w="1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Целевые группы </w:t>
            </w:r>
          </w:p>
        </w:tc>
        <w:tc>
          <w:tcPr>
            <w:tcW w:w="385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-</w:t>
            </w:r>
          </w:p>
        </w:tc>
      </w:tr>
      <w:tr>
        <w:trPr>
          <w:trHeight w:val="20"/>
        </w:trPr>
        <w:tc>
          <w:tcPr>
            <w:tcW w:w="114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Связь с государственной программой Белгородской области и с муниципальной программой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Ивнянского района</w:t>
            </w: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Ивнянского района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</w:t>
            </w:r>
          </w:p>
        </w:tc>
        <w:tc>
          <w:tcPr>
            <w:tcW w:w="25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Муниципальн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ая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программ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а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«Развитие молод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е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жной политики в Ивнянском районе»</w:t>
            </w:r>
          </w:p>
        </w:tc>
      </w:tr>
      <w:tr>
        <w:trPr>
          <w:trHeight w:val="20"/>
        </w:trPr>
        <w:tc>
          <w:tcPr>
            <w:tcW w:w="114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13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Государственная программа Белгородской области</w:t>
            </w:r>
          </w:p>
        </w:tc>
        <w:tc>
          <w:tcPr>
            <w:tcW w:w="252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Государственная программа Белгородской области «Развитие молодежной политики на территории Белгородской области»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Государственная программа Российской Федерации «Развитие образования»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pStyle w:val="ab"/>
        <w:numPr>
          <w:numId w:val="18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Показатели муниципальной программы</w:t>
      </w:r>
    </w:p>
    <w:p>
      <w:pPr>
        <w:spacing w:after="0" w:line="240" w:lineRule="auto"/>
        <w:rPr>
          <w:b/>
          <w:bCs/>
          <w:sz w:val="16"/>
          <w:szCs w:val="16"/>
        </w:rPr>
      </w:pPr>
    </w:p>
    <w:tbl>
      <w:tblPr>
        <w:tblpPr w:horzAnchor="margin" w:tblpX="-856" w:vertAnchor="text" w:tblpY="132" w:leftFromText="180" w:rightFromText="180"/>
        <w:tblW w:w="5345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7"/>
        <w:gridCol w:w="4119"/>
        <w:gridCol w:w="1575"/>
        <w:gridCol w:w="1002"/>
        <w:gridCol w:w="1718"/>
        <w:gridCol w:w="858"/>
        <w:gridCol w:w="430"/>
        <w:gridCol w:w="429"/>
        <w:gridCol w:w="429"/>
        <w:gridCol w:w="429"/>
        <w:gridCol w:w="430"/>
        <w:gridCol w:w="429"/>
        <w:gridCol w:w="573"/>
        <w:gridCol w:w="2720"/>
      </w:tblGrid>
      <w:tr>
        <w:trPr>
          <w:trHeight w:val="285"/>
          <w:tblHeader/>
        </w:trPr>
        <w:tc>
          <w:tcPr>
            <w:tcW w:w="452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№ п/п</w:t>
            </w:r>
          </w:p>
        </w:tc>
        <w:tc>
          <w:tcPr>
            <w:tcW w:w="4079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Наименование показателя/задачи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Признак возрастания/ убывания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Уровень показателя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Единица измерения (по ОКЕИ)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Базовое значение</w:t>
            </w:r>
          </w:p>
        </w:tc>
        <w:tc>
          <w:tcPr>
            <w:tcW w:w="2693" w:type="dxa"/>
            <w:gridSpan w:val="6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Значение показателей по годам</w:t>
            </w:r>
          </w:p>
        </w:tc>
        <w:tc>
          <w:tcPr>
            <w:tcW w:w="2693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Ответственный за достижение показателя</w:t>
            </w:r>
          </w:p>
        </w:tc>
      </w:tr>
      <w:tr>
        <w:trPr>
          <w:trHeight w:val="256"/>
          <w:tblHeader/>
        </w:trPr>
        <w:tc>
          <w:tcPr>
            <w:tcW w:w="452" w:type="dxa"/>
            <w:vMerge w:val="continue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4079" w:type="dxa"/>
            <w:vMerge w:val="continue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1560" w:type="dxa"/>
            <w:vMerge w:val="continue"/>
            <w:shd w:val="clear" w:color="auto" w:fill="ffffff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992" w:type="dxa"/>
            <w:vMerge w:val="continue"/>
            <w:shd w:val="clear" w:color="auto" w:fill="ffffff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1701" w:type="dxa"/>
            <w:vMerge w:val="continue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значение</w:t>
            </w:r>
          </w:p>
        </w:tc>
        <w:tc>
          <w:tcPr>
            <w:tcW w:w="426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год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2025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2026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2027</w:t>
            </w:r>
          </w:p>
        </w:tc>
        <w:tc>
          <w:tcPr>
            <w:tcW w:w="426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2028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2029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2030</w:t>
            </w:r>
          </w:p>
        </w:tc>
        <w:tc>
          <w:tcPr>
            <w:tcW w:w="2693" w:type="dxa"/>
            <w:vMerge w:val="continue"/>
            <w:shd w:val="clear" w:color="auto" w:fill="ffffff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</w:tr>
      <w:tr>
        <w:trPr>
          <w:trHeight w:val="225"/>
        </w:trPr>
        <w:tc>
          <w:tcPr>
            <w:tcW w:w="452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</w:t>
            </w:r>
          </w:p>
        </w:tc>
        <w:tc>
          <w:tcPr>
            <w:tcW w:w="4079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</w:t>
            </w:r>
          </w:p>
        </w:tc>
        <w:tc>
          <w:tcPr>
            <w:tcW w:w="1560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3</w:t>
            </w: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4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5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6</w:t>
            </w:r>
          </w:p>
        </w:tc>
        <w:tc>
          <w:tcPr>
            <w:tcW w:w="426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7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8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9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10</w:t>
            </w:r>
          </w:p>
        </w:tc>
        <w:tc>
          <w:tcPr>
            <w:tcW w:w="426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11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12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13</w:t>
            </w: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14</w:t>
            </w:r>
          </w:p>
        </w:tc>
      </w:tr>
      <w:tr>
        <w:trPr>
          <w:trHeight w:val="142"/>
        </w:trPr>
        <w:tc>
          <w:tcPr>
            <w:tcW w:w="452" w:type="dxa"/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</w:t>
            </w:r>
          </w:p>
        </w:tc>
        <w:tc>
          <w:tcPr>
            <w:tcW w:w="14994" w:type="dxa"/>
            <w:gridSpan w:val="13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Задача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2.М.1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. Обеспечение функционирования системы патриотического воспитания граждан Российской Федерации </w:t>
            </w:r>
          </w:p>
        </w:tc>
      </w:tr>
      <w:tr>
        <w:trPr>
          <w:trHeight w:val="625"/>
        </w:trPr>
        <w:tc>
          <w:tcPr>
            <w:tcW w:w="452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1.1.</w:t>
            </w:r>
          </w:p>
        </w:tc>
        <w:tc>
          <w:tcPr>
            <w:tcW w:w="4079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Доля граждан Ивнянского района, вовлеченных в систему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школьного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патриотического воспитания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в возрасте от 14 до 18 лет</w:t>
            </w:r>
          </w:p>
        </w:tc>
        <w:tc>
          <w:tcPr>
            <w:tcW w:w="1560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Прогрессирующий</w:t>
            </w:r>
          </w:p>
        </w:tc>
        <w:tc>
          <w:tcPr>
            <w:tcW w:w="992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КМП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человек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300</w:t>
            </w:r>
          </w:p>
        </w:tc>
        <w:tc>
          <w:tcPr>
            <w:tcW w:w="426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2023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52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52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52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</w:p>
        </w:tc>
        <w:tc>
          <w:tcPr>
            <w:tcW w:w="426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52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</w:p>
        </w:tc>
        <w:tc>
          <w:tcPr>
            <w:tcW w:w="425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52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52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</w:p>
        </w:tc>
        <w:tc>
          <w:tcPr>
            <w:tcW w:w="2693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МКУ «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УМПТиС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» администрации Ивнянского района</w:t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>
      <w:pPr>
        <w:pStyle w:val="ab"/>
        <w:numPr>
          <w:numId w:val="18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Помесячный план достижения муниципального проекта в 2025 году</w:t>
      </w:r>
    </w:p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tbl>
      <w:tblPr>
        <w:tblW w:w="5347" w:type="pct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0"/>
        <w:gridCol w:w="3703"/>
        <w:gridCol w:w="1717"/>
        <w:gridCol w:w="1860"/>
        <w:gridCol w:w="573"/>
        <w:gridCol w:w="573"/>
        <w:gridCol w:w="716"/>
        <w:gridCol w:w="573"/>
        <w:gridCol w:w="573"/>
        <w:gridCol w:w="716"/>
        <w:gridCol w:w="715"/>
        <w:gridCol w:w="573"/>
        <w:gridCol w:w="573"/>
        <w:gridCol w:w="573"/>
        <w:gridCol w:w="573"/>
        <w:gridCol w:w="1003"/>
      </w:tblGrid>
      <w:tr>
        <w:trPr>
          <w:tblHeader/>
        </w:trPr>
        <w:tc>
          <w:tcPr>
            <w:tcW w:w="585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№ п/п</w:t>
            </w:r>
          </w:p>
        </w:tc>
        <w:tc>
          <w:tcPr>
            <w:tcW w:w="3668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Наименование показателя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Уровень показателя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Единица </w:t>
            </w: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измер.по</w:t>
            </w: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 ОКЕИ)</w:t>
            </w:r>
          </w:p>
        </w:tc>
        <w:tc>
          <w:tcPr>
            <w:tcW w:w="6662" w:type="dxa"/>
            <w:gridSpan w:val="11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Плановые значения по кварталам/месяцам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На конец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2025 года</w:t>
            </w:r>
          </w:p>
        </w:tc>
      </w:tr>
      <w:tr>
        <w:trPr>
          <w:trHeight w:val="192"/>
          <w:tblHeader/>
        </w:trPr>
        <w:tc>
          <w:tcPr>
            <w:tcW w:w="585" w:type="dxa"/>
            <w:vMerge w:val="continue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3668" w:type="dxa"/>
            <w:vMerge w:val="continue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1843" w:type="dxa"/>
            <w:vMerge w:val="continue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янв.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фев</w:t>
            </w: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март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апр.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май</w:t>
            </w: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июнь</w:t>
            </w:r>
          </w:p>
        </w:tc>
        <w:tc>
          <w:tcPr>
            <w:tcW w:w="708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июль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авг.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сен.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окт.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ноя.</w:t>
            </w:r>
          </w:p>
        </w:tc>
        <w:tc>
          <w:tcPr>
            <w:tcW w:w="993" w:type="dxa"/>
            <w:vMerge w:val="continue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</w:tr>
      <w:tr>
        <w:trPr>
          <w:tblHeader/>
        </w:trPr>
        <w:tc>
          <w:tcPr>
            <w:tcW w:w="585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</w:t>
            </w:r>
          </w:p>
        </w:tc>
        <w:tc>
          <w:tcPr>
            <w:tcW w:w="3668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3</w:t>
            </w:r>
          </w:p>
        </w:tc>
        <w:tc>
          <w:tcPr>
            <w:tcW w:w="1843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4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5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6</w:t>
            </w: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7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8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9</w:t>
            </w: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10</w:t>
            </w:r>
          </w:p>
        </w:tc>
        <w:tc>
          <w:tcPr>
            <w:tcW w:w="708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11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12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13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14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15</w:t>
            </w:r>
          </w:p>
        </w:tc>
        <w:tc>
          <w:tcPr>
            <w:tcW w:w="993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16</w:t>
            </w:r>
          </w:p>
        </w:tc>
      </w:tr>
      <w:tr>
        <w:tc>
          <w:tcPr>
            <w:tcW w:w="585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</w:t>
            </w:r>
          </w:p>
        </w:tc>
        <w:tc>
          <w:tcPr>
            <w:tcW w:w="14867" w:type="dxa"/>
            <w:gridSpan w:val="15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Задача. Обеспечено функционирование системы патриотического воспитания граждан Российской Федерации </w:t>
            </w:r>
          </w:p>
        </w:tc>
      </w:tr>
      <w:tr>
        <w:tc>
          <w:tcPr>
            <w:tcW w:w="585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1.1.</w:t>
            </w:r>
          </w:p>
        </w:tc>
        <w:tc>
          <w:tcPr>
            <w:tcW w:w="3668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Доля граждан Ивнянского района, вовлеченных в систему школьного патриотического воспитания в возрасте от 14 до 18 лет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Прогрессирующий</w:t>
            </w:r>
          </w:p>
        </w:tc>
        <w:tc>
          <w:tcPr>
            <w:tcW w:w="1843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человек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410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420</w:t>
            </w: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430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440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450</w:t>
            </w: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460</w:t>
            </w:r>
          </w:p>
        </w:tc>
        <w:tc>
          <w:tcPr>
            <w:tcW w:w="708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470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480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490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500</w:t>
            </w:r>
          </w:p>
        </w:tc>
        <w:tc>
          <w:tcPr>
            <w:tcW w:w="56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510</w:t>
            </w:r>
          </w:p>
        </w:tc>
        <w:tc>
          <w:tcPr>
            <w:tcW w:w="993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52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>
      <w:pPr>
        <w:pStyle w:val="ab"/>
        <w:numPr>
          <w:numId w:val="18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Мероприятия (результаты) муниципального проекта</w:t>
      </w:r>
    </w:p>
    <w:tbl>
      <w:tblPr>
        <w:tblpPr w:horzAnchor="margin" w:tblpX="-856" w:vertAnchor="text" w:tblpY="207" w:leftFromText="180" w:rightFromText="180"/>
        <w:tblW w:w="5345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9"/>
        <w:gridCol w:w="6532"/>
        <w:gridCol w:w="925"/>
        <w:gridCol w:w="795"/>
        <w:gridCol w:w="532"/>
        <w:gridCol w:w="1188"/>
        <w:gridCol w:w="2371"/>
        <w:gridCol w:w="11"/>
        <w:gridCol w:w="2675"/>
      </w:tblGrid>
      <w:tr>
        <w:trPr>
          <w:trHeight w:val="552"/>
          <w:tblHeader/>
        </w:trPr>
        <w:tc>
          <w:tcPr>
            <w:tcW w:w="564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№ п/п</w:t>
            </w:r>
          </w:p>
        </w:tc>
        <w:tc>
          <w:tcPr>
            <w:tcW w:w="6468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Наименование показателя/задачи</w:t>
            </w:r>
          </w:p>
        </w:tc>
        <w:tc>
          <w:tcPr>
            <w:tcW w:w="916" w:type="dxa"/>
            <w:vMerge w:val="restart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Единица измерения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(по ОКЕИ)</w:t>
            </w:r>
          </w:p>
        </w:tc>
        <w:tc>
          <w:tcPr>
            <w:tcW w:w="1314" w:type="dxa"/>
            <w:gridSpan w:val="2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Базовое значение</w:t>
            </w:r>
          </w:p>
        </w:tc>
        <w:tc>
          <w:tcPr>
            <w:tcW w:w="1176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Значение показателей по годам</w:t>
            </w:r>
          </w:p>
        </w:tc>
        <w:tc>
          <w:tcPr>
            <w:tcW w:w="2359" w:type="dxa"/>
            <w:gridSpan w:val="2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Тип мероприятия (результата)</w:t>
            </w:r>
          </w:p>
        </w:tc>
        <w:tc>
          <w:tcPr>
            <w:tcW w:w="2649" w:type="dxa"/>
            <w:shd w:val="clear" w:color="auto" w:fill="ffffff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Уровень мероприятия (результата)</w:t>
            </w:r>
          </w:p>
        </w:tc>
      </w:tr>
      <w:tr>
        <w:trPr>
          <w:trHeight w:val="206"/>
          <w:tblHeader/>
        </w:trPr>
        <w:tc>
          <w:tcPr>
            <w:tcW w:w="564" w:type="dxa"/>
            <w:vMerge w:val="continue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6468" w:type="dxa"/>
            <w:vMerge w:val="continue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916" w:type="dxa"/>
            <w:vMerge w:val="continue"/>
            <w:shd w:val="clear" w:color="auto" w:fill="ffffff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78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значение</w:t>
            </w:r>
          </w:p>
        </w:tc>
        <w:tc>
          <w:tcPr>
            <w:tcW w:w="52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год</w:t>
            </w:r>
          </w:p>
        </w:tc>
        <w:tc>
          <w:tcPr>
            <w:tcW w:w="1176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2025</w:t>
            </w:r>
          </w:p>
        </w:tc>
        <w:tc>
          <w:tcPr>
            <w:tcW w:w="2359" w:type="dxa"/>
            <w:gridSpan w:val="2"/>
            <w:shd w:val="clear" w:color="auto" w:fill="ffffff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2649" w:type="dxa"/>
            <w:shd w:val="clear" w:color="auto" w:fill="ffffff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</w:tr>
      <w:tr>
        <w:trPr>
          <w:trHeight w:val="208"/>
        </w:trPr>
        <w:tc>
          <w:tcPr>
            <w:tcW w:w="564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</w:t>
            </w:r>
          </w:p>
        </w:tc>
        <w:tc>
          <w:tcPr>
            <w:tcW w:w="6468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</w:t>
            </w:r>
          </w:p>
        </w:tc>
        <w:tc>
          <w:tcPr>
            <w:tcW w:w="916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3</w:t>
            </w:r>
          </w:p>
        </w:tc>
        <w:tc>
          <w:tcPr>
            <w:tcW w:w="78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4</w:t>
            </w:r>
          </w:p>
        </w:tc>
        <w:tc>
          <w:tcPr>
            <w:tcW w:w="527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5</w:t>
            </w:r>
          </w:p>
        </w:tc>
        <w:tc>
          <w:tcPr>
            <w:tcW w:w="1176" w:type="dxa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6</w:t>
            </w:r>
          </w:p>
        </w:tc>
        <w:tc>
          <w:tcPr>
            <w:tcW w:w="2359" w:type="dxa"/>
            <w:gridSpan w:val="2"/>
            <w:shd w:val="clear" w:color="auto" w:fill="ffffff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7</w:t>
            </w:r>
          </w:p>
        </w:tc>
        <w:tc>
          <w:tcPr>
            <w:tcW w:w="2649" w:type="dxa"/>
            <w:shd w:val="clear" w:color="auto" w:fill="ffffff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8</w:t>
            </w:r>
          </w:p>
        </w:tc>
      </w:tr>
      <w:tr>
        <w:trPr>
          <w:trHeight w:val="198"/>
        </w:trPr>
        <w:tc>
          <w:tcPr>
            <w:tcW w:w="564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</w:t>
            </w:r>
          </w:p>
        </w:tc>
        <w:tc>
          <w:tcPr>
            <w:tcW w:w="12233" w:type="dxa"/>
            <w:gridSpan w:val="7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Задача. Обеспечено функционирование системы патриотического воспитания граждан Российской Федерации </w:t>
            </w:r>
          </w:p>
        </w:tc>
        <w:tc>
          <w:tcPr>
            <w:tcW w:w="2649" w:type="dxa"/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</w:p>
        </w:tc>
      </w:tr>
      <w:tr>
        <w:trPr>
          <w:trHeight w:val="692"/>
        </w:trPr>
        <w:tc>
          <w:tcPr>
            <w:tcW w:w="564" w:type="dxa"/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1.1.</w:t>
            </w:r>
          </w:p>
        </w:tc>
        <w:tc>
          <w:tcPr>
            <w:tcW w:w="6468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(результат)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«В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объединениями»</w:t>
            </w:r>
          </w:p>
        </w:tc>
        <w:tc>
          <w:tcPr>
            <w:tcW w:w="916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человек</w:t>
            </w:r>
          </w:p>
        </w:tc>
        <w:tc>
          <w:tcPr>
            <w:tcW w:w="78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6</w:t>
            </w:r>
          </w:p>
        </w:tc>
        <w:tc>
          <w:tcPr>
            <w:tcW w:w="52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2023</w:t>
            </w:r>
          </w:p>
        </w:tc>
        <w:tc>
          <w:tcPr>
            <w:tcW w:w="1176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10</w:t>
            </w:r>
          </w:p>
        </w:tc>
        <w:tc>
          <w:tcPr>
            <w:tcW w:w="2359" w:type="dxa"/>
            <w:gridSpan w:val="2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Обеспечено привлечение квалифицированных кадров</w:t>
            </w:r>
          </w:p>
        </w:tc>
        <w:tc>
          <w:tcPr>
            <w:tcW w:w="2649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МП</w:t>
            </w:r>
          </w:p>
        </w:tc>
      </w:tr>
      <w:tr>
        <w:trPr>
          <w:trHeight w:val="926"/>
        </w:trPr>
        <w:tc>
          <w:tcPr>
            <w:tcW w:w="564" w:type="dxa"/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1.1.1</w:t>
            </w:r>
          </w:p>
        </w:tc>
        <w:tc>
          <w:tcPr>
            <w:tcW w:w="14882" w:type="dxa"/>
            <w:gridSpan w:val="8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Бюджетом не менее 80 субъектов Российской Федерации предоставлены субсидии из Федерального бюджета в целях проведения мероприятий по обеспечению деятельности советников директоров по воспитанию и взаимодействия с детскими общественными объединеньями общеобразовательных организациях  (количество государственных и муниципальных общеобразовательных организаций, реализующих мероприятия по обеспечению деятельности советников директора по воспитанию и взаимодействию с детскими общественными объединениями) Проведено обучение советников директоров по воспитанию и взаимодействию с детскими общественными объединениями муниципальных координаторов.</w:t>
            </w:r>
          </w:p>
        </w:tc>
      </w:tr>
      <w:tr>
        <w:trPr>
          <w:trHeight w:val="741"/>
        </w:trPr>
        <w:tc>
          <w:tcPr>
            <w:tcW w:w="564" w:type="dxa"/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1.2</w:t>
            </w:r>
          </w:p>
        </w:tc>
        <w:tc>
          <w:tcPr>
            <w:tcW w:w="6468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(результат)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«В общеобразовательных организациях введены ставки советников директора по воспитанию и взаимодействию с детскими общественными объединеньями и обеспечена их деятельность»</w:t>
            </w:r>
          </w:p>
        </w:tc>
        <w:tc>
          <w:tcPr>
            <w:tcW w:w="916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человек</w:t>
            </w:r>
          </w:p>
        </w:tc>
        <w:tc>
          <w:tcPr>
            <w:tcW w:w="78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6</w:t>
            </w:r>
          </w:p>
        </w:tc>
        <w:tc>
          <w:tcPr>
            <w:tcW w:w="52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2023</w:t>
            </w:r>
          </w:p>
        </w:tc>
        <w:tc>
          <w:tcPr>
            <w:tcW w:w="1176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10</w:t>
            </w:r>
          </w:p>
        </w:tc>
        <w:tc>
          <w:tcPr>
            <w:tcW w:w="2359" w:type="dxa"/>
            <w:gridSpan w:val="2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Оказание услуг</w:t>
            </w:r>
          </w:p>
        </w:tc>
        <w:tc>
          <w:tcPr>
            <w:tcW w:w="2649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МП</w:t>
            </w:r>
          </w:p>
        </w:tc>
      </w:tr>
      <w:tr>
        <w:trPr>
          <w:trHeight w:val="322"/>
        </w:trPr>
        <w:tc>
          <w:tcPr>
            <w:tcW w:w="564" w:type="dxa"/>
            <w:tcBorders>
              <w:bottom w:val="single" w:color="auto" w:sz="4" w:space="0"/>
            </w:tcBorders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1.2.1</w:t>
            </w:r>
          </w:p>
        </w:tc>
        <w:tc>
          <w:tcPr>
            <w:tcW w:w="14882" w:type="dxa"/>
            <w:gridSpan w:val="8"/>
            <w:tcBorders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Бюджетом 45 субъектов Российской Федерации предоставлены субсидии из Федерального бюджета в целях проведения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>
        <w:trPr>
          <w:trHeight w:val="624"/>
        </w:trPr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1.3.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«Введены рабочие программы воспитания обучающихся в общеобразовательных организациях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»</w:t>
            </w:r>
          </w:p>
        </w:tc>
        <w:tc>
          <w:tcPr>
            <w:tcW w:w="916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процент</w:t>
            </w:r>
          </w:p>
        </w:tc>
        <w:tc>
          <w:tcPr>
            <w:tcW w:w="78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</w:p>
        </w:tc>
        <w:tc>
          <w:tcPr>
            <w:tcW w:w="52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2023</w:t>
            </w:r>
          </w:p>
        </w:tc>
        <w:tc>
          <w:tcPr>
            <w:tcW w:w="1176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100</w:t>
            </w:r>
          </w:p>
        </w:tc>
        <w:tc>
          <w:tcPr>
            <w:tcW w:w="2348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Утверждение документа</w:t>
            </w:r>
          </w:p>
        </w:tc>
        <w:tc>
          <w:tcPr>
            <w:tcW w:w="2660" w:type="dxa"/>
            <w:gridSpan w:val="2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МП</w:t>
            </w:r>
          </w:p>
        </w:tc>
      </w:tr>
      <w:tr>
        <w:trPr>
          <w:trHeight w:val="322"/>
        </w:trPr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1.3.1.</w:t>
            </w:r>
          </w:p>
        </w:tc>
        <w:tc>
          <w:tcPr>
            <w:tcW w:w="148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Доля общеобразовательных и профессиональных образовательных организаций в которых утверждены рабочие программы воспитания обучающихся на основе разработанной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Минпросвещением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России примерной программы воспитания обучающихся , от общего количества общеобразовательных организаций и профессиональных образовательных организаций</w:t>
            </w:r>
          </w:p>
        </w:tc>
      </w:tr>
      <w:tr>
        <w:trPr>
          <w:trHeight w:val="322"/>
        </w:trPr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1.4. </w:t>
            </w:r>
          </w:p>
        </w:tc>
        <w:tc>
          <w:tcPr>
            <w:tcW w:w="6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«Созданы условия для развития системы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межпоколенческого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взаимодействия и обеспечение преемственности поколений, поддержки общественных инициатив и проектов, направленных на гражданское и патриотическое воспитание детей и молодежи» </w:t>
            </w:r>
          </w:p>
        </w:tc>
        <w:tc>
          <w:tcPr>
            <w:tcW w:w="916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Тыс. человек</w:t>
            </w:r>
          </w:p>
        </w:tc>
        <w:tc>
          <w:tcPr>
            <w:tcW w:w="78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</w:p>
        </w:tc>
        <w:tc>
          <w:tcPr>
            <w:tcW w:w="527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2023</w:t>
            </w:r>
          </w:p>
        </w:tc>
        <w:tc>
          <w:tcPr>
            <w:tcW w:w="1176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0,8</w:t>
            </w:r>
          </w:p>
        </w:tc>
        <w:tc>
          <w:tcPr>
            <w:tcW w:w="2348" w:type="dxa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Проведение массовых мероприятий</w:t>
            </w:r>
          </w:p>
        </w:tc>
        <w:tc>
          <w:tcPr>
            <w:tcW w:w="2660" w:type="dxa"/>
            <w:gridSpan w:val="2"/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МП </w:t>
            </w:r>
          </w:p>
        </w:tc>
      </w:tr>
      <w:tr>
        <w:trPr>
          <w:trHeight w:val="322"/>
        </w:trPr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1.4.1.</w:t>
            </w:r>
          </w:p>
        </w:tc>
        <w:tc>
          <w:tcPr>
            <w:tcW w:w="1488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Реализация программы, включающей в себя проведение детских этапов популярных конкурсов, премий и проектов, уже рекомендовавших себя среди населения Российской Федерации.</w:t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p>
      <w:pPr>
        <w:pStyle w:val="ab"/>
        <w:numPr>
          <w:numId w:val="18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Финансовое обеспечение </w:t>
      </w:r>
      <w:r>
        <w:rPr>
          <w:rFonts w:ascii="Times New Roman" w:hAnsi="Times New Roman"/>
          <w:b/>
          <w:sz w:val="26"/>
          <w:szCs w:val="26"/>
        </w:rPr>
        <w:t xml:space="preserve">реализации муниципального проекта </w:t>
      </w:r>
    </w:p>
    <w:p>
      <w:pPr>
        <w:spacing w:after="0" w:line="240" w:lineRule="auto"/>
        <w:rPr>
          <w:rFonts w:ascii="Times New Roman" w:hAnsi="Times New Roman"/>
          <w:sz w:val="18"/>
          <w:szCs w:val="20"/>
        </w:rPr>
      </w:pPr>
    </w:p>
    <w:tbl>
      <w:tblPr>
        <w:tblStyle w:val="11"/>
        <w:tblW w:w="5347" w:type="pct"/>
        <w:tblInd w:w="-8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45"/>
        <w:gridCol w:w="1432"/>
        <w:gridCol w:w="715"/>
        <w:gridCol w:w="715"/>
        <w:gridCol w:w="858"/>
        <w:gridCol w:w="858"/>
        <w:gridCol w:w="718"/>
        <w:gridCol w:w="858"/>
        <w:gridCol w:w="1005"/>
      </w:tblGrid>
      <w:tr>
        <w:trPr>
          <w:trHeight w:val="20"/>
          <w:tblHeader/>
        </w:trPr>
        <w:tc>
          <w:tcPr>
            <w:tcW w:w="2706" w:type="pct"/>
            <w:vMerge w:val="restart"/>
            <w:vAlign w:val="center"/>
          </w:tcPr>
          <w:p>
            <w:pPr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Наименование государственной программы (комплексной программы), структурного элемента, источник финансового обеспечения</w:t>
            </w:r>
          </w:p>
        </w:tc>
        <w:tc>
          <w:tcPr>
            <w:tcW w:w="459" w:type="pct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bookmarkStart w:id="28" w:name="_Hlk181020295"/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Код бюджетной классификации</w:t>
            </w:r>
            <w:bookmarkEnd w:id="28"/>
          </w:p>
        </w:tc>
        <w:tc>
          <w:tcPr>
            <w:tcW w:w="1835" w:type="pct"/>
            <w:gridSpan w:val="7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Объем финансового обеспечения по годам, тыс. рублей</w:t>
            </w:r>
          </w:p>
        </w:tc>
      </w:tr>
      <w:tr>
        <w:trPr>
          <w:trHeight w:val="20"/>
          <w:tblHeader/>
        </w:trPr>
        <w:tc>
          <w:tcPr>
            <w:tcW w:w="2706" w:type="pct"/>
            <w:vMerge w:val="continue"/>
            <w:vAlign w:val="center"/>
          </w:tcPr>
          <w:p>
            <w:pPr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2025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2026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2027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2028</w:t>
            </w:r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2029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2030</w:t>
            </w:r>
          </w:p>
        </w:tc>
        <w:tc>
          <w:tcPr>
            <w:tcW w:w="322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Всего</w:t>
            </w:r>
          </w:p>
        </w:tc>
      </w:tr>
      <w:tr>
        <w:trPr>
          <w:trHeight w:val="20"/>
          <w:tblHeader/>
        </w:trPr>
        <w:tc>
          <w:tcPr>
            <w:tcW w:w="2706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1</w:t>
            </w:r>
          </w:p>
        </w:tc>
        <w:tc>
          <w:tcPr>
            <w:tcW w:w="45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2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3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4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5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6</w:t>
            </w:r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7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8</w:t>
            </w:r>
          </w:p>
        </w:tc>
        <w:tc>
          <w:tcPr>
            <w:tcW w:w="322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9</w:t>
            </w:r>
          </w:p>
        </w:tc>
      </w:tr>
      <w:tr>
        <w:trPr>
          <w:trHeight w:val="20"/>
        </w:trPr>
        <w:tc>
          <w:tcPr>
            <w:tcW w:w="5000" w:type="pct"/>
            <w:gridSpan w:val="9"/>
            <w:vAlign w:val="center"/>
          </w:tcPr>
          <w:p>
            <w:pPr>
              <w:rPr>
                <w:rFonts w:ascii="Times New Roman" w:hAnsi="Times New Roman"/>
                <w:sz w:val="1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Задача. Обеспечено функционирование системы патриотического воспитания граждан Российской Федерации</w:t>
            </w:r>
          </w:p>
        </w:tc>
      </w:tr>
      <w:tr>
        <w:trPr>
          <w:trHeight w:val="20"/>
        </w:trPr>
        <w:tc>
          <w:tcPr>
            <w:tcW w:w="2706" w:type="pct"/>
            <w:vAlign w:val="center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(результат)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«В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объединениями»</w:t>
            </w:r>
          </w:p>
        </w:tc>
        <w:tc>
          <w:tcPr>
            <w:tcW w:w="459" w:type="pct"/>
            <w:vMerge w:val="restar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871 07 09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5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1 01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ХХХХХ ХХХ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Местный бюджет (всего), из них: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справочно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)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справочно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)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местный бюджет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Внебюджетные источники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Нераспределенный резерв (местный бюджет)</w:t>
            </w:r>
          </w:p>
        </w:tc>
        <w:tc>
          <w:tcPr>
            <w:tcW w:w="45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-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(результат)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«В общеобразовательных организациях введены ставки советников директора по воспитанию и взаимодействию с детскими общественными объединеньями и обеспечена их деятельность»</w:t>
            </w:r>
          </w:p>
        </w:tc>
        <w:tc>
          <w:tcPr>
            <w:tcW w:w="459" w:type="pct"/>
            <w:vMerge w:val="restar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871 07 09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5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1 01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ХХХХХ ХХХ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2567,3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3115,9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4501,1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4556,8</w:t>
            </w:r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4556,8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4556,8</w:t>
            </w:r>
          </w:p>
        </w:tc>
        <w:tc>
          <w:tcPr>
            <w:tcW w:w="322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23854,7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Местный бюджет (всего), из них: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2567,3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3115,9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4501,1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4556,8</w:t>
            </w:r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4556,8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4556,8</w:t>
            </w:r>
          </w:p>
        </w:tc>
        <w:tc>
          <w:tcPr>
            <w:tcW w:w="322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23854,7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справочно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)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2413,2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2742,0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3690,9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3736,6</w:t>
            </w:r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3736,6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3736,6</w:t>
            </w:r>
          </w:p>
        </w:tc>
        <w:tc>
          <w:tcPr>
            <w:tcW w:w="322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20055,9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справочно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)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154,1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373,9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810,2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820,2</w:t>
            </w:r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820,2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820,2</w:t>
            </w:r>
          </w:p>
        </w:tc>
        <w:tc>
          <w:tcPr>
            <w:tcW w:w="322" w:type="pct"/>
            <w:vAlign w:val="center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3798,8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местный бюджет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Внебюджетные источники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Нераспределенный резерв (местный бюджет)</w:t>
            </w:r>
          </w:p>
        </w:tc>
        <w:tc>
          <w:tcPr>
            <w:tcW w:w="45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-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  <w:vAlign w:val="center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«Введены рабочие программы воспитания обучающихся в общеобразовательных организациях»</w:t>
            </w:r>
          </w:p>
        </w:tc>
        <w:tc>
          <w:tcPr>
            <w:tcW w:w="459" w:type="pct"/>
            <w:vMerge w:val="restar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871 07 09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5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1 01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ХХХХХ ХХХ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Местный бюджет (всего), из них: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справочно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)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справочно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)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местный бюджет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Внебюджетные источники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Нераспределенный резерв (местный бюджет)</w:t>
            </w:r>
          </w:p>
        </w:tc>
        <w:tc>
          <w:tcPr>
            <w:tcW w:w="45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-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«Созданы условия для развития системы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межпоколенческого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взаимодействия и обеспечение преемственности поколений, поддержки общественных инициатив и проектов, направленных на гражданское и патриотическое воспитание детей и молодежи»</w:t>
            </w:r>
          </w:p>
        </w:tc>
        <w:tc>
          <w:tcPr>
            <w:tcW w:w="459" w:type="pct"/>
            <w:vMerge w:val="restar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871 07 09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5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1 01</w:t>
            </w:r>
          </w:p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ХХХХХ ХХХ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Местный бюджет (всего), из них: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справочно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)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справочно</w:t>
            </w: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)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- местный бюджет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Внебюджетные источники</w:t>
            </w:r>
          </w:p>
        </w:tc>
        <w:tc>
          <w:tcPr>
            <w:tcW w:w="459" w:type="pct"/>
            <w:vMerge w:val="continue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2706" w:type="pct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Нераспределенный резерв (местный бюджет)</w:t>
            </w:r>
          </w:p>
        </w:tc>
        <w:tc>
          <w:tcPr>
            <w:tcW w:w="45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-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3165" w:type="pct"/>
            <w:gridSpan w:val="2"/>
            <w:shd w:val="clear" w:color="auto" w:fill="ffffff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  <w:szCs w:val="18"/>
              </w:rPr>
              <w:t xml:space="preserve">Итого по муниципальному проекту, в том числе: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2567,3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3115,9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4501,1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4556,8</w:t>
            </w:r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4556,8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4556,8</w:t>
            </w:r>
          </w:p>
        </w:tc>
        <w:tc>
          <w:tcPr>
            <w:tcW w:w="322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23854,7</w:t>
            </w:r>
          </w:p>
        </w:tc>
      </w:tr>
      <w:tr>
        <w:trPr>
          <w:trHeight w:val="20"/>
        </w:trPr>
        <w:tc>
          <w:tcPr>
            <w:tcW w:w="3165" w:type="pct"/>
            <w:gridSpan w:val="2"/>
            <w:shd w:val="clear" w:color="auto" w:fill="ffffff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Муниципальный бюджет (всего), из них: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2567,3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3115,9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4501,1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4556,8</w:t>
            </w:r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4556,8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4556,8</w:t>
            </w:r>
          </w:p>
        </w:tc>
        <w:tc>
          <w:tcPr>
            <w:tcW w:w="322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23854,7</w:t>
            </w:r>
          </w:p>
        </w:tc>
      </w:tr>
      <w:tr>
        <w:trPr>
          <w:trHeight w:val="20"/>
        </w:trPr>
        <w:tc>
          <w:tcPr>
            <w:tcW w:w="3165" w:type="pct"/>
            <w:gridSpan w:val="2"/>
            <w:shd w:val="clear" w:color="auto" w:fill="ffffff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-</w:t>
            </w:r>
            <w:r>
              <w:rPr>
                <w:rFonts w:ascii="Times New Roman" w:hAnsi="Times New Roman"/>
                <w:b/>
                <w:sz w:val="18"/>
                <w:szCs w:val="18"/>
                <w:lang w:val="en-US" w:eastAsia="ru-RU"/>
              </w:rPr>
              <w:t xml:space="preserve"> 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межбюджетные трансферты из федерального бюджета (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справочно</w:t>
            </w: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)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2413,2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2742,0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3690,9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3736,6</w:t>
            </w:r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3736,6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3736,6</w:t>
            </w:r>
          </w:p>
        </w:tc>
        <w:tc>
          <w:tcPr>
            <w:tcW w:w="322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20055,9</w:t>
            </w:r>
          </w:p>
        </w:tc>
      </w:tr>
      <w:tr>
        <w:trPr>
          <w:trHeight w:val="20"/>
        </w:trPr>
        <w:tc>
          <w:tcPr>
            <w:tcW w:w="3165" w:type="pct"/>
            <w:gridSpan w:val="2"/>
            <w:shd w:val="clear" w:color="auto" w:fill="ffffff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- межбюджетные трансферты из областного бюджета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154,1</w:t>
            </w:r>
          </w:p>
        </w:tc>
        <w:tc>
          <w:tcPr>
            <w:tcW w:w="229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373,9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810,2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820,2</w:t>
            </w:r>
          </w:p>
        </w:tc>
        <w:tc>
          <w:tcPr>
            <w:tcW w:w="230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820,2</w:t>
            </w:r>
          </w:p>
        </w:tc>
        <w:tc>
          <w:tcPr>
            <w:tcW w:w="275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820,2</w:t>
            </w:r>
          </w:p>
        </w:tc>
        <w:tc>
          <w:tcPr>
            <w:tcW w:w="322" w:type="pct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3798,8</w:t>
            </w:r>
          </w:p>
        </w:tc>
      </w:tr>
      <w:tr>
        <w:trPr>
          <w:trHeight w:val="20"/>
        </w:trPr>
        <w:tc>
          <w:tcPr>
            <w:tcW w:w="3165" w:type="pct"/>
            <w:gridSpan w:val="2"/>
            <w:shd w:val="clear" w:color="auto" w:fill="ffffff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- бюджет муниципального образования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  <w:lang w:eastAsia="ru-RU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  <w:lang w:eastAsia="ru-RU"/>
              </w:rPr>
              <w:t xml:space="preserve">0</w:t>
            </w:r>
          </w:p>
        </w:tc>
      </w:tr>
      <w:tr>
        <w:trPr>
          <w:trHeight w:val="20"/>
        </w:trPr>
        <w:tc>
          <w:tcPr>
            <w:tcW w:w="3165" w:type="pct"/>
            <w:gridSpan w:val="2"/>
            <w:shd w:val="clear" w:color="auto" w:fill="ffffff"/>
          </w:tcPr>
          <w:p>
            <w:pPr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Внебюджетные источники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0</w:t>
            </w:r>
          </w:p>
        </w:tc>
        <w:tc>
          <w:tcPr>
            <w:tcW w:w="229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0</w:t>
            </w:r>
          </w:p>
        </w:tc>
        <w:tc>
          <w:tcPr>
            <w:tcW w:w="230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0</w:t>
            </w:r>
          </w:p>
        </w:tc>
        <w:tc>
          <w:tcPr>
            <w:tcW w:w="275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0</w:t>
            </w:r>
          </w:p>
        </w:tc>
        <w:tc>
          <w:tcPr>
            <w:tcW w:w="322" w:type="pc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0</w:t>
            </w:r>
          </w:p>
        </w:tc>
      </w:tr>
    </w:tbl>
    <w:p>
      <w:pPr>
        <w:pStyle w:val="ab"/>
        <w:spacing w:after="0" w:line="240" w:lineRule="auto"/>
        <w:ind w:left="0"/>
        <w:rPr>
          <w:rFonts w:ascii="Times New Roman" w:hAnsi="Times New Roman"/>
          <w:sz w:val="20"/>
          <w:szCs w:val="20"/>
        </w:rPr>
      </w:pPr>
    </w:p>
    <w:p>
      <w:pPr>
        <w:pStyle w:val="ab"/>
        <w:numPr>
          <w:numId w:val="18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Помесячный план исполнения местного бюджета в части бюджетных ассигнований, предусмотренных на финансовое обеспечение реализации муниципального проекта в 2025 году</w:t>
      </w:r>
    </w:p>
    <w:p>
      <w:pPr>
        <w:pStyle w:val="ab"/>
        <w:spacing w:after="0" w:line="240" w:lineRule="auto"/>
        <w:ind w:left="0"/>
        <w:rPr>
          <w:rFonts w:ascii="Times New Roman" w:hAnsi="Times New Roman"/>
          <w:b/>
          <w:sz w:val="26"/>
          <w:szCs w:val="26"/>
        </w:rPr>
      </w:pPr>
    </w:p>
    <w:tbl>
      <w:tblPr>
        <w:tblStyle w:val="aa"/>
        <w:tblW w:w="1545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2"/>
        <w:gridCol w:w="6096"/>
        <w:gridCol w:w="707"/>
        <w:gridCol w:w="608"/>
        <w:gridCol w:w="708"/>
        <w:gridCol w:w="706"/>
        <w:gridCol w:w="622"/>
        <w:gridCol w:w="671"/>
        <w:gridCol w:w="706"/>
        <w:gridCol w:w="703"/>
        <w:gridCol w:w="704"/>
        <w:gridCol w:w="686"/>
        <w:gridCol w:w="603"/>
        <w:gridCol w:w="1370"/>
      </w:tblGrid>
      <w:tr>
        <w:tc>
          <w:tcPr>
            <w:tcW w:w="562" w:type="dxa"/>
            <w:vMerge w:val="restar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№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п/п</w:t>
            </w:r>
          </w:p>
        </w:tc>
        <w:tc>
          <w:tcPr>
            <w:tcW w:w="6096" w:type="dxa"/>
            <w:vMerge w:val="restar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Наименование мероприятия (результата)</w:t>
            </w:r>
          </w:p>
        </w:tc>
        <w:tc>
          <w:tcPr>
            <w:tcW w:w="7424" w:type="dxa"/>
            <w:gridSpan w:val="11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План исполнения нарастающим итогом (тыс. рублей)</w:t>
            </w:r>
          </w:p>
        </w:tc>
        <w:tc>
          <w:tcPr>
            <w:tcW w:w="1370" w:type="dxa"/>
            <w:vMerge w:val="restart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Всего на конец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2025 года</w:t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(тыс. рублей)</w:t>
            </w:r>
          </w:p>
        </w:tc>
      </w:tr>
      <w:tr>
        <w:tc>
          <w:tcPr>
            <w:tcW w:w="562" w:type="dxa"/>
            <w:vMerge w:val="continue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096" w:type="dxa"/>
            <w:vMerge w:val="continue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Янв.</w:t>
            </w:r>
          </w:p>
        </w:tc>
        <w:tc>
          <w:tcPr>
            <w:tcW w:w="608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Фев.</w:t>
            </w:r>
          </w:p>
        </w:tc>
        <w:tc>
          <w:tcPr>
            <w:tcW w:w="708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Март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Апр.</w:t>
            </w:r>
          </w:p>
        </w:tc>
        <w:tc>
          <w:tcPr>
            <w:tcW w:w="622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май</w:t>
            </w:r>
          </w:p>
        </w:tc>
        <w:tc>
          <w:tcPr>
            <w:tcW w:w="671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июнь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июль</w:t>
            </w:r>
          </w:p>
        </w:tc>
        <w:tc>
          <w:tcPr>
            <w:tcW w:w="703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Авг.</w:t>
            </w:r>
          </w:p>
        </w:tc>
        <w:tc>
          <w:tcPr>
            <w:tcW w:w="704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Сен.</w:t>
            </w:r>
          </w:p>
        </w:tc>
        <w:tc>
          <w:tcPr>
            <w:tcW w:w="686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Окт.</w:t>
            </w:r>
          </w:p>
        </w:tc>
        <w:tc>
          <w:tcPr>
            <w:tcW w:w="603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Ноя.</w:t>
            </w:r>
          </w:p>
        </w:tc>
        <w:tc>
          <w:tcPr>
            <w:tcW w:w="1370" w:type="dxa"/>
            <w:vMerge w:val="continue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>
        <w:tc>
          <w:tcPr>
            <w:tcW w:w="562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</w:t>
            </w:r>
          </w:p>
        </w:tc>
        <w:tc>
          <w:tcPr>
            <w:tcW w:w="6096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2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w="608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4</w:t>
            </w:r>
          </w:p>
        </w:tc>
        <w:tc>
          <w:tcPr>
            <w:tcW w:w="708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5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6</w:t>
            </w:r>
          </w:p>
        </w:tc>
        <w:tc>
          <w:tcPr>
            <w:tcW w:w="622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7</w:t>
            </w:r>
          </w:p>
        </w:tc>
        <w:tc>
          <w:tcPr>
            <w:tcW w:w="671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8</w:t>
            </w:r>
          </w:p>
        </w:tc>
        <w:tc>
          <w:tcPr>
            <w:tcW w:w="706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9</w:t>
            </w:r>
          </w:p>
        </w:tc>
        <w:tc>
          <w:tcPr>
            <w:tcW w:w="703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10</w:t>
            </w:r>
          </w:p>
        </w:tc>
        <w:tc>
          <w:tcPr>
            <w:tcW w:w="704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11</w:t>
            </w:r>
          </w:p>
        </w:tc>
        <w:tc>
          <w:tcPr>
            <w:tcW w:w="686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12</w:t>
            </w:r>
          </w:p>
        </w:tc>
        <w:tc>
          <w:tcPr>
            <w:tcW w:w="603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13</w:t>
            </w:r>
          </w:p>
        </w:tc>
        <w:tc>
          <w:tcPr>
            <w:tcW w:w="1370" w:type="dxa"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14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</w:p>
        </w:tc>
        <w:tc>
          <w:tcPr>
            <w:tcW w:w="14890" w:type="dxa"/>
            <w:gridSpan w:val="13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  <w:lang w:eastAsia="ru-RU"/>
              </w:rPr>
              <w:t xml:space="preserve">Задача. Обеспечено функционирование системы патриотического воспитания граждан Российской Федерации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</w:t>
            </w:r>
          </w:p>
        </w:tc>
        <w:tc>
          <w:tcPr>
            <w:tcW w:w="6096" w:type="dxa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(результат)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«В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объединениями»</w:t>
            </w:r>
          </w:p>
        </w:tc>
        <w:tc>
          <w:tcPr>
            <w:tcW w:w="707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08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8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22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71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4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8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0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1370" w:type="dxa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567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</w:t>
            </w:r>
          </w:p>
        </w:tc>
        <w:tc>
          <w:tcPr>
            <w:tcW w:w="609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(результат)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«В общеобразовательных организациях введены ставки советников директора по воспитанию и взаимодействию с детскими общественными объединеньями и обеспечена их деятельность»</w:t>
            </w:r>
          </w:p>
        </w:tc>
        <w:tc>
          <w:tcPr>
            <w:tcW w:w="707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08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8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22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71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4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8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0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1370" w:type="dxa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0,00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</w:t>
            </w:r>
          </w:p>
        </w:tc>
        <w:tc>
          <w:tcPr>
            <w:tcW w:w="6096" w:type="dxa"/>
            <w:vAlign w:val="center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«Введены рабочие программы воспитания обучающихся в общеобразовательных организациях»</w:t>
            </w:r>
          </w:p>
        </w:tc>
        <w:tc>
          <w:tcPr>
            <w:tcW w:w="707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08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8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22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71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4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8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0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1370" w:type="dxa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0,00</w:t>
            </w:r>
          </w:p>
        </w:tc>
      </w:tr>
      <w:tr>
        <w:tc>
          <w:tcPr>
            <w:tcW w:w="562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1.4</w:t>
            </w:r>
          </w:p>
        </w:tc>
        <w:tc>
          <w:tcPr>
            <w:tcW w:w="609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«Созданы условия для развития системы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межпоколенческого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 взаимодействия и обеспечение преемственности поколений, поддержки общественных инициатив и проектов, направленных на гражданское и патриотическое воспитание детей и молодежи»</w:t>
            </w:r>
          </w:p>
        </w:tc>
        <w:tc>
          <w:tcPr>
            <w:tcW w:w="707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08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8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22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71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704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86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603" w:type="dxa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</w:p>
        </w:tc>
        <w:tc>
          <w:tcPr>
            <w:tcW w:w="1370" w:type="dxa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0,00</w:t>
            </w:r>
          </w:p>
        </w:tc>
      </w:tr>
    </w:tbl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 w:clear="all"/>
      </w:r>
    </w:p>
    <w:tbl>
      <w:tblPr>
        <w:tblStyle w:val="aa"/>
        <w:tblW w:w="0" w:type="auto"/>
        <w:tblInd w:w="109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91"/>
      </w:tblGrid>
      <w:tr>
        <w:tc>
          <w:tcPr>
            <w:tcW w:w="4784" w:type="dxa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bookmarkStart w:id="29" w:name="_Hlk181262133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Приложение</w:t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к паспорту муниципального проекта «Патриотическое воспитание граждан Российской федерации»</w:t>
            </w:r>
          </w:p>
        </w:tc>
      </w:tr>
      <w:bookmarkEnd w:id="29"/>
    </w:tbl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План </w:t>
      </w:r>
      <w:r>
        <w:rPr>
          <w:rFonts w:ascii="Times New Roman" w:hAnsi="Times New Roman"/>
          <w:b/>
          <w:sz w:val="26"/>
          <w:szCs w:val="26"/>
        </w:rPr>
        <w:t xml:space="preserve">реализации муниципального проекта</w:t>
      </w:r>
    </w:p>
    <w:p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452" w:type="dxa"/>
        <w:tblInd w:w="-856" w:type="dxa"/>
        <w:tblLook w:val="01E0" w:firstRow="1" w:lastRow="1" w:firstColumn="1" w:lastColumn="1" w:noHBand="0" w:noVBand="0"/>
      </w:tblPr>
      <w:tblGrid>
        <w:gridCol w:w="5373"/>
        <w:gridCol w:w="1167"/>
        <w:gridCol w:w="5111"/>
        <w:gridCol w:w="3801"/>
      </w:tblGrid>
      <w:tr>
        <w:trPr>
          <w:trHeight w:val="646"/>
          <w:tblHeader/>
        </w:trPr>
        <w:tc>
          <w:tcPr>
            <w:tcW w:w="5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Задача, мероприятие (результат) /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контрольная точка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Дата наступления контрольной точки</w:t>
            </w: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Ответственный исполнитель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(Ф.И.О., должность, наименование ОИВ субъекта Российской Федерации (местной администрации муниципального образования), иного государственного (муниципального) органа, организации)</w:t>
            </w:r>
            <w:r>
              <w:rPr>
                <w:rStyle w:val="a9"/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Вид подтверждающего документа</w:t>
            </w:r>
          </w:p>
        </w:tc>
      </w:tr>
      <w:tr>
        <w:trPr>
          <w:trHeight w:val="119"/>
        </w:trPr>
        <w:tc>
          <w:tcPr>
            <w:tcW w:w="53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38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</w:tr>
      <w:tr>
        <w:trPr>
          <w:trHeight w:val="327"/>
        </w:trPr>
        <w:tc>
          <w:tcPr>
            <w:tcW w:w="154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Задача. Обеспечено функционирование системы патриотического воспитания граждан Российской Федерации</w:t>
            </w:r>
          </w:p>
        </w:tc>
      </w:tr>
      <w:tr>
        <w:trPr>
          <w:trHeight w:val="119"/>
        </w:trPr>
        <w:tc>
          <w:tcPr>
            <w:tcW w:w="5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Мероприятие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(результат) </w:t>
            </w:r>
            <w:r>
              <w:rPr>
                <w:rFonts w:ascii="Times New Roman" w:hAnsi="Times New Roman"/>
                <w:sz w:val="18"/>
                <w:szCs w:val="20"/>
              </w:rPr>
              <w:t xml:space="preserve">«В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объединениями»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  <w:shd w:val="clear" w:color="auto" w:fill="ebedf0"/>
              </w:rPr>
              <w:t xml:space="preserve">31.12.2024</w:t>
            </w:r>
          </w:p>
        </w:tc>
        <w:tc>
          <w:tcPr>
            <w:tcW w:w="51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Билецкая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Т.Д. Начальник МКУ «Управление образования» администрации Ивнянского района</w:t>
            </w:r>
          </w:p>
        </w:tc>
        <w:tc>
          <w:tcPr>
            <w:tcW w:w="38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ГИИС «Электронный бюджет»</w:t>
            </w:r>
          </w:p>
        </w:tc>
      </w:tr>
      <w:tr>
        <w:trPr>
          <w:trHeight w:val="119"/>
        </w:trPr>
        <w:tc>
          <w:tcPr>
            <w:tcW w:w="537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1.1 «Приняты меры по трудоустройству работников  на вакантные рабочие места» 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  <w:shd w:val="clear" w:color="auto" w:fill="ebedf0"/>
              </w:rPr>
              <w:t xml:space="preserve">31.12.2024</w:t>
            </w:r>
          </w:p>
        </w:tc>
        <w:tc>
          <w:tcPr>
            <w:tcW w:w="5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537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«В общеобразовательных организациях введены ставки советников директора по воспитанию и взаимодействию с детскими общественными объединеньями и обеспечена их деятельность»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  <w:shd w:val="clear" w:color="auto" w:fill="ebedf0"/>
              </w:rPr>
              <w:t xml:space="preserve">31.12.2024</w:t>
            </w:r>
          </w:p>
        </w:tc>
        <w:tc>
          <w:tcPr>
            <w:tcW w:w="5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537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2.1. «Введены ставки советников директора по воспитанию и взаимодействию с детскими общественными объединеньями» 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  <w:shd w:val="clear" w:color="auto" w:fill="ebedf0"/>
              </w:rPr>
              <w:t xml:space="preserve">31.12.2024</w:t>
            </w:r>
          </w:p>
        </w:tc>
        <w:tc>
          <w:tcPr>
            <w:tcW w:w="5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5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(результат)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«Введены рабочие программы воспитания обучающихся в общеобразовательных организациях»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  <w:shd w:val="clear" w:color="auto" w:fill="ebedf0"/>
              </w:rPr>
              <w:t xml:space="preserve">31.12.2024</w:t>
            </w:r>
          </w:p>
        </w:tc>
        <w:tc>
          <w:tcPr>
            <w:tcW w:w="5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5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3.1 «Утверждены (одобрены, сформированы) документы, необходимые для оказания услуг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  <w:shd w:val="clear" w:color="auto" w:fill="ebedf0"/>
              </w:rPr>
              <w:t xml:space="preserve">31.12.2024</w:t>
            </w:r>
          </w:p>
        </w:tc>
        <w:tc>
          <w:tcPr>
            <w:tcW w:w="5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5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«Созданы условия для развития системы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межпоколенческого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взаимодействия и обеспечение преемственности поколений, поддержки общественных инициатив и проектов, направленных на гражданское и патриотическое воспитание детей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и молодежи»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  <w:shd w:val="clear" w:color="auto" w:fill="ebedf0"/>
              </w:rPr>
              <w:t xml:space="preserve">31.12.2024</w:t>
            </w:r>
          </w:p>
        </w:tc>
        <w:tc>
          <w:tcPr>
            <w:tcW w:w="5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5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4.1 «Для оказания услуг (выполнения работ) подготовлено материально-техническое (кадровое) обеспечение»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  <w:shd w:val="clear" w:color="auto" w:fill="ebedf0"/>
              </w:rPr>
              <w:t xml:space="preserve">31.12.2024</w:t>
            </w:r>
          </w:p>
        </w:tc>
        <w:tc>
          <w:tcPr>
            <w:tcW w:w="5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5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4.2 «Услуга оказана (работы выполнены)»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  <w:shd w:val="clear" w:color="auto" w:fill="ebedf0"/>
              </w:rPr>
              <w:t xml:space="preserve">31.12.2024</w:t>
            </w:r>
          </w:p>
        </w:tc>
        <w:tc>
          <w:tcPr>
            <w:tcW w:w="51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 w:clear="all"/>
      </w:r>
    </w:p>
    <w:p>
      <w:pPr>
        <w:spacing w:after="0" w:line="240" w:lineRule="auto"/>
        <w:ind w:right="962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УТВЕРЖДЕН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постановлением администрации</w:t>
      </w:r>
    </w:p>
    <w:p>
      <w:pPr>
        <w:spacing w:after="0" w:line="240" w:lineRule="auto"/>
        <w:ind w:right="678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Ивнянского района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«___» ___________ 2024 №_______</w:t>
      </w:r>
    </w:p>
    <w:p>
      <w:pPr>
        <w:spacing w:after="0" w:line="240" w:lineRule="auto"/>
        <w:jc w:val="center"/>
        <w:rPr>
          <w:rFonts w:ascii="Times New Roman" w:hAnsi="Times New Roman"/>
          <w:sz w:val="18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ПАСПОРТ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комплекса процессных мероприятий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</w:t>
      </w:r>
      <w:r>
        <w:rPr>
          <w:rFonts w:ascii="Times New Roman" w:hAnsi="Times New Roman"/>
          <w:b/>
          <w:sz w:val="26"/>
          <w:szCs w:val="26"/>
        </w:rPr>
        <w:t xml:space="preserve">Создание условий для развития способностей и талантов молодежи,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предоставление возможностей самореализации и поддержка социально значимых инициатив»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(далее – комплекс процессных мероприятия 1)</w:t>
      </w: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pStyle w:val="ab"/>
        <w:numPr>
          <w:numId w:val="7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Общие положения</w:t>
      </w:r>
    </w:p>
    <w:p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5452" w:type="dxa"/>
        <w:tblInd w:w="-856" w:type="dxa"/>
        <w:tblLook w:val="01E0" w:firstRow="1" w:lastRow="1" w:firstColumn="1" w:lastColumn="1" w:noHBand="0" w:noVBand="0"/>
      </w:tblPr>
      <w:tblGrid>
        <w:gridCol w:w="7795"/>
        <w:gridCol w:w="7657"/>
      </w:tblGrid>
      <w:tr>
        <w:trPr>
          <w:trHeight w:val="133"/>
        </w:trPr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ный орган: </w:t>
            </w:r>
          </w:p>
        </w:tc>
        <w:tc>
          <w:tcPr>
            <w:tcW w:w="7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Наименование ОИВ: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», директор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Быкова Елена Юрьевна</w:t>
            </w:r>
          </w:p>
        </w:tc>
      </w:tr>
      <w:tr>
        <w:trPr>
          <w:trHeight w:val="80"/>
        </w:trPr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Связь с муниципальной программой: </w:t>
            </w:r>
          </w:p>
        </w:tc>
        <w:tc>
          <w:tcPr>
            <w:tcW w:w="7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программа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Развитие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жной политики на территории Ивнянского района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>
      <w:pPr>
        <w:pStyle w:val="ab"/>
        <w:numPr>
          <w:numId w:val="7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Показатели комплекса процессных мероприятий</w:t>
      </w:r>
      <w:r>
        <w:rPr>
          <w:rFonts w:ascii="Times New Roman" w:hAnsi="Times New Roman"/>
          <w:b/>
          <w:sz w:val="26"/>
          <w:szCs w:val="26"/>
        </w:rPr>
        <w:t xml:space="preserve"> 1</w:t>
      </w: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452" w:type="dxa"/>
        <w:tblInd w:w="-856" w:type="dxa"/>
        <w:tblLayout w:type="fixed"/>
        <w:tblLook w:val="01E0" w:firstRow="1" w:lastRow="1" w:firstColumn="1" w:lastColumn="1" w:noHBand="0" w:noVBand="0"/>
      </w:tblPr>
      <w:tblGrid>
        <w:gridCol w:w="572"/>
        <w:gridCol w:w="4366"/>
        <w:gridCol w:w="1134"/>
        <w:gridCol w:w="992"/>
        <w:gridCol w:w="993"/>
        <w:gridCol w:w="850"/>
        <w:gridCol w:w="567"/>
        <w:gridCol w:w="567"/>
        <w:gridCol w:w="567"/>
        <w:gridCol w:w="567"/>
        <w:gridCol w:w="567"/>
        <w:gridCol w:w="567"/>
        <w:gridCol w:w="567"/>
        <w:gridCol w:w="1321"/>
        <w:gridCol w:w="1255"/>
      </w:tblGrid>
      <w:tr>
        <w:trPr>
          <w:trHeight w:val="286"/>
        </w:trPr>
        <w:tc>
          <w:tcPr>
            <w:tcW w:w="5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п/п</w:t>
            </w:r>
          </w:p>
        </w:tc>
        <w:tc>
          <w:tcPr>
            <w:tcW w:w="4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Уровень показателя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(по ОКЕИ)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Базовое значение</w:t>
            </w:r>
          </w:p>
        </w:tc>
        <w:tc>
          <w:tcPr>
            <w:tcW w:w="34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Значение показателей по годам</w:t>
            </w:r>
          </w:p>
        </w:tc>
        <w:tc>
          <w:tcPr>
            <w:tcW w:w="13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Ответственный за достижение показателя</w:t>
            </w:r>
          </w:p>
        </w:tc>
        <w:tc>
          <w:tcPr>
            <w:tcW w:w="12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Информационная система</w:t>
            </w:r>
          </w:p>
        </w:tc>
      </w:tr>
      <w:tr>
        <w:trPr>
          <w:trHeight w:val="77"/>
        </w:trPr>
        <w:tc>
          <w:tcPr>
            <w:tcW w:w="5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36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значение</w:t>
            </w:r>
          </w:p>
        </w:tc>
        <w:tc>
          <w:tcPr>
            <w:tcW w:w="56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год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13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>
        <w:trPr>
          <w:trHeight w:val="143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10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11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12</w:t>
            </w:r>
          </w:p>
        </w:tc>
      </w:tr>
      <w:tr>
        <w:trPr>
          <w:trHeight w:val="243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</w:t>
            </w:r>
          </w:p>
        </w:tc>
        <w:tc>
          <w:tcPr>
            <w:tcW w:w="1488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Задача 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Создание условий для патриотического и духовно-нравственного воспитания, творческого, интеллектуального и физического развития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жи, реализации 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научно-технического и творческого потенциала, поддержка деятельности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жных и детских общественных объединений</w:t>
            </w:r>
          </w:p>
        </w:tc>
      </w:tr>
      <w:tr>
        <w:trPr>
          <w:trHeight w:val="428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</w:t>
            </w:r>
          </w:p>
        </w:tc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Число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Ивнянского района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возрасте от 14 до 35 лет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охваченных мероприятиями в рамках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направления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подпрограммы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 Ивнянского района»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КМП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Чел.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2727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3498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3524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3588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3653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3717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3722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«УМПТИС»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</w:tr>
      <w:tr>
        <w:trPr>
          <w:trHeight w:val="428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1.2.</w:t>
            </w:r>
          </w:p>
        </w:tc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Число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занятой проектной деятельностью, в  возрасте от 14 до 35 лет, активно принимающие участие в проектной и грантовой деятельностях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КМП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Чел.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213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223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238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248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«УМПТИС»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</w:tr>
    </w:tbl>
    <w:p>
      <w:pPr>
        <w:spacing w:after="120"/>
        <w:jc w:val="center"/>
        <w:rPr>
          <w:rFonts w:ascii="Times New Roman" w:hAnsi="Times New Roman"/>
          <w:sz w:val="20"/>
          <w:szCs w:val="20"/>
        </w:rPr>
      </w:pPr>
    </w:p>
    <w:p>
      <w:pPr>
        <w:pStyle w:val="ab"/>
        <w:numPr>
          <w:numId w:val="7"/>
          <w:ilvl w:val="0"/>
        </w:numPr>
        <w:spacing w:after="120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Помесячный план достижения показателей комплекса процессных мероприятий 1 в 2025 году</w:t>
      </w:r>
    </w:p>
    <w:tbl>
      <w:tblPr>
        <w:tblW w:w="5347" w:type="pct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1"/>
        <w:gridCol w:w="4733"/>
        <w:gridCol w:w="1432"/>
        <w:gridCol w:w="2434"/>
        <w:gridCol w:w="858"/>
        <w:gridCol w:w="428"/>
        <w:gridCol w:w="412"/>
        <w:gridCol w:w="318"/>
        <w:gridCol w:w="428"/>
        <w:gridCol w:w="428"/>
        <w:gridCol w:w="428"/>
        <w:gridCol w:w="428"/>
        <w:gridCol w:w="431"/>
        <w:gridCol w:w="431"/>
        <w:gridCol w:w="431"/>
        <w:gridCol w:w="1423"/>
      </w:tblGrid>
      <w:tr>
        <w:trPr>
          <w:trHeight w:val="187"/>
          <w:tblHeader/>
        </w:trPr>
        <w:tc>
          <w:tcPr>
            <w:tcW w:w="180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 п/п</w:t>
            </w:r>
          </w:p>
        </w:tc>
        <w:tc>
          <w:tcPr>
            <w:tcW w:w="1517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Показатели комплекса процессных мероприятий</w:t>
            </w:r>
          </w:p>
        </w:tc>
        <w:tc>
          <w:tcPr>
            <w:tcW w:w="459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Уровень показателя</w:t>
            </w:r>
          </w:p>
        </w:tc>
        <w:tc>
          <w:tcPr>
            <w:tcW w:w="780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(по ОКЕИ)</w:t>
            </w:r>
          </w:p>
        </w:tc>
        <w:tc>
          <w:tcPr>
            <w:tcW w:w="1607" w:type="pct"/>
            <w:gridSpan w:val="11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Плановые значения по месяцам</w:t>
            </w:r>
          </w:p>
        </w:tc>
        <w:tc>
          <w:tcPr>
            <w:tcW w:w="456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2025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года</w:t>
            </w:r>
          </w:p>
        </w:tc>
      </w:tr>
      <w:tr>
        <w:trPr>
          <w:trHeight w:val="77"/>
          <w:tblHeader/>
        </w:trPr>
        <w:tc>
          <w:tcPr>
            <w:tcW w:w="180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17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59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80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75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янв.</w:t>
            </w:r>
          </w:p>
        </w:tc>
        <w:tc>
          <w:tcPr>
            <w:tcW w:w="13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фев.</w:t>
            </w:r>
          </w:p>
        </w:tc>
        <w:tc>
          <w:tcPr>
            <w:tcW w:w="132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март</w:t>
            </w:r>
          </w:p>
        </w:tc>
        <w:tc>
          <w:tcPr>
            <w:tcW w:w="102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апр.</w:t>
            </w:r>
          </w:p>
        </w:tc>
        <w:tc>
          <w:tcPr>
            <w:tcW w:w="13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май</w:t>
            </w:r>
          </w:p>
        </w:tc>
        <w:tc>
          <w:tcPr>
            <w:tcW w:w="13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июнь</w:t>
            </w:r>
          </w:p>
        </w:tc>
        <w:tc>
          <w:tcPr>
            <w:tcW w:w="13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июль</w:t>
            </w:r>
          </w:p>
        </w:tc>
        <w:tc>
          <w:tcPr>
            <w:tcW w:w="13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авг.</w:t>
            </w:r>
          </w:p>
        </w:tc>
        <w:tc>
          <w:tcPr>
            <w:tcW w:w="138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сен.</w:t>
            </w:r>
          </w:p>
        </w:tc>
        <w:tc>
          <w:tcPr>
            <w:tcW w:w="138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окт.</w:t>
            </w:r>
          </w:p>
        </w:tc>
        <w:tc>
          <w:tcPr>
            <w:tcW w:w="138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ноя.</w:t>
            </w:r>
          </w:p>
        </w:tc>
        <w:tc>
          <w:tcPr>
            <w:tcW w:w="456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99"/>
        </w:trPr>
        <w:tc>
          <w:tcPr>
            <w:tcW w:w="18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</w:t>
            </w:r>
          </w:p>
        </w:tc>
        <w:tc>
          <w:tcPr>
            <w:tcW w:w="4820" w:type="pct"/>
            <w:gridSpan w:val="15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Задача 1.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Создание условий для патриотического и духовно-нравственного воспитания, творческого, интеллектуального и физического развития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жи, реализации 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научно-технического и творческого потенциала, поддержка деятельности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жных и детских общественных объединений</w:t>
            </w:r>
          </w:p>
        </w:tc>
      </w:tr>
      <w:tr>
        <w:trPr>
          <w:trHeight w:val="576"/>
        </w:trPr>
        <w:tc>
          <w:tcPr>
            <w:tcW w:w="18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1.1.</w:t>
            </w:r>
          </w:p>
        </w:tc>
        <w:tc>
          <w:tcPr>
            <w:tcW w:w="1517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Число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Ивнянского района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возрасте от 14 до 35 лет охваченных мероприятиями в рамках подпрограммы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 Ивнянского района»</w:t>
            </w:r>
          </w:p>
        </w:tc>
        <w:tc>
          <w:tcPr>
            <w:tcW w:w="459" w:type="pc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КМП</w:t>
            </w:r>
          </w:p>
        </w:tc>
        <w:tc>
          <w:tcPr>
            <w:tcW w:w="780" w:type="pc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275" w:type="pct"/>
          </w:tcPr>
          <w:p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</w:tcPr>
          <w:p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-</w:t>
            </w:r>
          </w:p>
        </w:tc>
        <w:tc>
          <w:tcPr>
            <w:tcW w:w="132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02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8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8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8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456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3498</w:t>
            </w:r>
          </w:p>
        </w:tc>
      </w:tr>
      <w:tr>
        <w:trPr>
          <w:trHeight w:val="386"/>
        </w:trPr>
        <w:tc>
          <w:tcPr>
            <w:tcW w:w="18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2.1.</w:t>
            </w:r>
          </w:p>
        </w:tc>
        <w:tc>
          <w:tcPr>
            <w:tcW w:w="1517" w:type="pct"/>
          </w:tcPr>
          <w:p>
            <w:pPr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Число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занятой проектной деятельностью, в  возрасте от 14 до 35 лет, активно принимающие участие в проектной и грантовой деятельностях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59" w:type="pc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КМП</w:t>
            </w:r>
          </w:p>
        </w:tc>
        <w:tc>
          <w:tcPr>
            <w:tcW w:w="780" w:type="pc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275" w:type="pct"/>
          </w:tcPr>
          <w:p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</w:tcPr>
          <w:p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-</w:t>
            </w:r>
          </w:p>
        </w:tc>
        <w:tc>
          <w:tcPr>
            <w:tcW w:w="132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02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8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8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8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456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213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>
      <w:pPr>
        <w:pStyle w:val="ab"/>
        <w:numPr>
          <w:numId w:val="7"/>
          <w:ilvl w:val="0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Перечень мероприятий (результатов) комплекса процессных мероприятий</w:t>
      </w:r>
      <w:r>
        <w:rPr>
          <w:rFonts w:ascii="Times New Roman" w:hAnsi="Times New Roman"/>
          <w:b/>
          <w:sz w:val="26"/>
          <w:szCs w:val="26"/>
        </w:rPr>
        <w:t xml:space="preserve"> 1</w:t>
      </w: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452" w:type="dxa"/>
        <w:tblInd w:w="-856" w:type="dxa"/>
        <w:tblLook w:val="01E0" w:firstRow="1" w:lastRow="1" w:firstColumn="1" w:lastColumn="1" w:noHBand="0" w:noVBand="0"/>
      </w:tblPr>
      <w:tblGrid>
        <w:gridCol w:w="456"/>
        <w:gridCol w:w="3969"/>
        <w:gridCol w:w="2078"/>
        <w:gridCol w:w="989"/>
        <w:gridCol w:w="870"/>
        <w:gridCol w:w="700"/>
        <w:gridCol w:w="703"/>
        <w:gridCol w:w="703"/>
        <w:gridCol w:w="702"/>
        <w:gridCol w:w="703"/>
        <w:gridCol w:w="700"/>
        <w:gridCol w:w="938"/>
        <w:gridCol w:w="1941"/>
      </w:tblGrid>
      <w:tr>
        <w:trPr>
          <w:trHeight w:val="184"/>
        </w:trPr>
        <w:tc>
          <w:tcPr>
            <w:tcW w:w="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 п/п</w:t>
            </w:r>
          </w:p>
        </w:tc>
        <w:tc>
          <w:tcPr>
            <w:tcW w:w="39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Наименование мероприятия (результата)</w:t>
            </w:r>
          </w:p>
        </w:tc>
        <w:tc>
          <w:tcPr>
            <w:tcW w:w="2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Тип мероприятий (результата)</w:t>
            </w:r>
          </w:p>
        </w:tc>
        <w:tc>
          <w:tcPr>
            <w:tcW w:w="9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 (по ОКЕИ)</w:t>
            </w:r>
          </w:p>
        </w:tc>
        <w:tc>
          <w:tcPr>
            <w:tcW w:w="15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Базовое значение</w:t>
            </w:r>
          </w:p>
        </w:tc>
        <w:tc>
          <w:tcPr>
            <w:tcW w:w="444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Значения мероприятия (результата) по годам</w:t>
            </w:r>
          </w:p>
        </w:tc>
        <w:tc>
          <w:tcPr>
            <w:tcW w:w="194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Связь с показателями комплекса процессных мероприятий</w:t>
            </w:r>
          </w:p>
        </w:tc>
      </w:tr>
      <w:tr>
        <w:trPr>
          <w:trHeight w:val="130"/>
        </w:trPr>
        <w:tc>
          <w:tcPr>
            <w:tcW w:w="45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07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значение</w:t>
            </w:r>
          </w:p>
        </w:tc>
        <w:tc>
          <w:tcPr>
            <w:tcW w:w="70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год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194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>
        <w:trPr>
          <w:trHeight w:val="147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10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13</w:t>
            </w:r>
          </w:p>
        </w:tc>
      </w:tr>
      <w:tr>
        <w:trPr>
          <w:trHeight w:val="197"/>
        </w:trPr>
        <w:tc>
          <w:tcPr>
            <w:tcW w:w="1545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Задача 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Создание условий для патриотического и духовно-нравственного воспитания, творческого, интеллектуального и физического развития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жи, реализации 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научно-технического и творческого потенциала, поддержка деятельности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жных и детских общественных объединений</w:t>
            </w:r>
          </w:p>
        </w:tc>
      </w:tr>
      <w:tr>
        <w:trPr>
          <w:trHeight w:val="875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рамках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направления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подпрограммы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 Ивнянского района»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Организация и проведения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9,51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10,07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10,14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10,33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10,51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10,7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10,71</w:t>
            </w:r>
          </w:p>
        </w:tc>
        <w:tc>
          <w:tcPr>
            <w:tcW w:w="194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Число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Ивнянского района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возрасте от 14 до 35 лет охваченных мероприятиями в рамках подпрограммы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 Ивнянского района»</w:t>
            </w:r>
          </w:p>
        </w:tc>
      </w:tr>
      <w:tr>
        <w:trPr>
          <w:trHeight w:val="135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1.1.</w:t>
            </w:r>
          </w:p>
        </w:tc>
        <w:tc>
          <w:tcPr>
            <w:tcW w:w="1305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рамках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рганизованы и проведены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рамках подпрограммы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 Ивнянского района»</w:t>
            </w:r>
          </w:p>
        </w:tc>
        <w:tc>
          <w:tcPr>
            <w:tcW w:w="194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40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7.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Проектная деятельность</w:t>
            </w:r>
          </w:p>
        </w:tc>
        <w:tc>
          <w:tcPr>
            <w:tcW w:w="2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Организация и проведения мероприятия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4,1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4,3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4,5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4,7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4,8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4,9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5,0</w:t>
            </w:r>
          </w:p>
        </w:tc>
        <w:tc>
          <w:tcPr>
            <w:tcW w:w="194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Число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жи,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занятой проектной деятельностью, в  возрасте от 14 до 35 лет, активно принимающие участие в проектной и грантовой деятельностях</w:t>
            </w:r>
          </w:p>
        </w:tc>
      </w:tr>
      <w:tr>
        <w:trPr>
          <w:trHeight w:val="422"/>
        </w:trPr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7.1.</w:t>
            </w:r>
          </w:p>
        </w:tc>
        <w:tc>
          <w:tcPr>
            <w:tcW w:w="1305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рамках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рганизованы и проведены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Проектная деятельность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грантовые конкурсы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школы проектной деятельности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конкурсы проектов</w:t>
            </w:r>
          </w:p>
        </w:tc>
        <w:tc>
          <w:tcPr>
            <w:tcW w:w="194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pStyle w:val="ab"/>
        <w:numPr>
          <w:numId w:val="7"/>
          <w:ilvl w:val="0"/>
        </w:num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Финансовое обеспечение комплекса процессных мероприятий</w:t>
      </w:r>
      <w:r>
        <w:rPr>
          <w:rFonts w:ascii="Times New Roman" w:hAnsi="Times New Roman"/>
          <w:b/>
          <w:sz w:val="26"/>
          <w:szCs w:val="26"/>
        </w:rPr>
        <w:t xml:space="preserve"> 1</w:t>
      </w: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Таблица 1</w:t>
      </w:r>
    </w:p>
    <w:tbl>
      <w:tblPr>
        <w:tblW w:w="15452" w:type="dxa"/>
        <w:tblInd w:w="-856" w:type="dxa"/>
        <w:tblLayout w:type="fixed"/>
        <w:tblLook w:val="01E0" w:firstRow="1" w:lastRow="1" w:firstColumn="1" w:lastColumn="1" w:noHBand="0" w:noVBand="0"/>
      </w:tblPr>
      <w:tblGrid>
        <w:gridCol w:w="6238"/>
        <w:gridCol w:w="1984"/>
        <w:gridCol w:w="1134"/>
        <w:gridCol w:w="1134"/>
        <w:gridCol w:w="1134"/>
        <w:gridCol w:w="993"/>
        <w:gridCol w:w="850"/>
        <w:gridCol w:w="851"/>
        <w:gridCol w:w="1134"/>
      </w:tblGrid>
      <w:tr>
        <w:trPr>
          <w:trHeight w:val="77"/>
          <w:tblHeader/>
        </w:trPr>
        <w:tc>
          <w:tcPr>
            <w:tcW w:w="62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вание мероприятия (результата) /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источник финансового обеспечения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Код бюджетной классификации</w:t>
            </w:r>
          </w:p>
        </w:tc>
        <w:tc>
          <w:tcPr>
            <w:tcW w:w="7230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Объем финансового обеспечения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 годам реализации, тыс.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руб</w:t>
            </w:r>
          </w:p>
        </w:tc>
      </w:tr>
      <w:tr>
        <w:trPr>
          <w:trHeight w:val="106"/>
          <w:tblHeader/>
        </w:trPr>
        <w:tc>
          <w:tcPr>
            <w:tcW w:w="62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9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Создание условий для развития способностей и талантов молодежи, предоставление возможностей самореализации и поддержка социально значимых инициатив»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»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(всего), в том числе:</w:t>
            </w:r>
          </w:p>
        </w:tc>
        <w:tc>
          <w:tcPr>
            <w:tcW w:w="1984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05 4 01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 и проведены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рамках подпрограммы «Молодежь Ивнянского района»</w:t>
            </w:r>
          </w:p>
        </w:tc>
        <w:tc>
          <w:tcPr>
            <w:tcW w:w="1984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891 07 07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05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01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ХХХХХ ХХХ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139,0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мероприятия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Проектная деятельность</w:t>
            </w:r>
          </w:p>
        </w:tc>
        <w:tc>
          <w:tcPr>
            <w:tcW w:w="1984" w:type="dxa"/>
            <w:vMerge w:val="restart"/>
            <w:tcBorders>
              <w:lef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891 07 07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05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01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ХХХХХ ХХХ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0,0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0,0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0,0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0,0</w:t>
            </w:r>
          </w:p>
        </w:tc>
      </w:tr>
      <w:tr>
        <w:trPr>
          <w:trHeight w:val="119"/>
        </w:trPr>
        <w:tc>
          <w:tcPr>
            <w:tcW w:w="6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984" w:type="dxa"/>
            <w:vMerge w:val="continue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>
      <w:pPr>
        <w:spacing w:after="0"/>
        <w:ind w:left="11199" w:right="70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Приложение</w:t>
      </w:r>
    </w:p>
    <w:p>
      <w:pPr>
        <w:spacing w:after="0" w:line="240" w:lineRule="auto"/>
        <w:ind w:left="10632" w:right="142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 паспорту к</w:t>
      </w:r>
      <w:r>
        <w:rPr>
          <w:rFonts w:ascii="Times New Roman" w:hAnsi="Times New Roman"/>
          <w:b/>
          <w:sz w:val="26"/>
          <w:szCs w:val="26"/>
        </w:rPr>
        <w:t xml:space="preserve">омплекса</w:t>
      </w:r>
    </w:p>
    <w:p>
      <w:pPr>
        <w:spacing w:after="0" w:line="240" w:lineRule="auto"/>
        <w:ind w:left="10632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процессных мероприятий</w:t>
      </w:r>
    </w:p>
    <w:p>
      <w:pPr>
        <w:spacing w:after="0" w:line="240" w:lineRule="auto"/>
        <w:ind w:left="11199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«Молод</w:t>
      </w:r>
      <w:r>
        <w:rPr>
          <w:rFonts w:ascii="Times New Roman" w:hAnsi="Times New Roman"/>
          <w:b/>
          <w:sz w:val="26"/>
          <w:szCs w:val="26"/>
        </w:rPr>
        <w:t xml:space="preserve">е</w:t>
      </w:r>
      <w:r>
        <w:rPr>
          <w:rFonts w:ascii="Times New Roman" w:hAnsi="Times New Roman"/>
          <w:b/>
          <w:sz w:val="26"/>
          <w:szCs w:val="26"/>
        </w:rPr>
        <w:t xml:space="preserve">жное творчество»</w:t>
      </w: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План реализации комплекса процессных мероприятий</w:t>
      </w:r>
      <w:r>
        <w:rPr>
          <w:rFonts w:ascii="Times New Roman" w:hAnsi="Times New Roman"/>
          <w:b/>
          <w:sz w:val="26"/>
          <w:szCs w:val="26"/>
        </w:rPr>
        <w:t xml:space="preserve"> 1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452" w:type="dxa"/>
        <w:tblInd w:w="-856" w:type="dxa"/>
        <w:tblLook w:val="01E0" w:firstRow="1" w:lastRow="1" w:firstColumn="1" w:lastColumn="1" w:noHBand="0" w:noVBand="0"/>
      </w:tblPr>
      <w:tblGrid>
        <w:gridCol w:w="8482"/>
        <w:gridCol w:w="1701"/>
        <w:gridCol w:w="3568"/>
        <w:gridCol w:w="1701"/>
      </w:tblGrid>
      <w:tr>
        <w:trPr>
          <w:trHeight w:val="646"/>
          <w:tblHeader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bookmarkStart w:id="30" w:name="_Hlk181259698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Задача, мероприятие (результат) /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контрольная точка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Дата наступления контрольной точки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Ответственный исполнитель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(Ф.И.О., должность, наименование ОИВ субъекта Российской Федерации (местной администрации муниципального образования), иного государственного (муниципального) органа, организации)</w:t>
            </w:r>
            <w:r>
              <w:rPr>
                <w:rStyle w:val="a9"/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Вид подтверждающего документа</w:t>
            </w: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</w:tr>
      <w:tr>
        <w:trPr>
          <w:trHeight w:val="220"/>
        </w:trPr>
        <w:tc>
          <w:tcPr>
            <w:tcW w:w="154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Задача 1. Создание условий для патриотического и духовно-нравственного воспитания, творческого, интеллектуального и физического развития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жи, реализации 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научно-технического и творческого потенциала, поддержка деятельности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жных и детских общественных объединений</w:t>
            </w: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Организованны и проведены мероприятия в рамках подпрограммы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 Ивнянского района»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X</w:t>
            </w:r>
          </w:p>
        </w:tc>
        <w:tc>
          <w:tcPr>
            <w:tcW w:w="35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», директор Быкова Е.Ю.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Отчет по охвату численности, Областной рейтинг</w:t>
            </w: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награжд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нных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«Здоровый образ жизни»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X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1.5.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«Молодые семьи»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9.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жь, нуждающаяся в особой защите государства»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«Детские и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жные общественные объединения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прочи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 направлению Проектная деятельность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нтрольная точка 1.24.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Выделение средств победителям конкурса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2025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Организованны и проведены мероприятия в рамках подпрограммы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 Ивнянского района»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2026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1.28.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награжд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нных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«Здоровый образ жизни»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2026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1.32.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</w:t>
            </w:r>
          </w:p>
        </w:tc>
        <w:tc>
          <w:tcPr>
            <w:tcW w:w="35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», директор Быкова Е.Ю.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Отчет по охвату численности, Областной рейтинг</w:t>
            </w: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«Молодые семьи»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36.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жь, нуждающаяся в особой защите государства»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2026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1.40.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«Детские и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жные общественные объединения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прочи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48.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50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 направлению Проектная деятельность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Выделение средств победителям конкурса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6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Организованны и проведены мероприятия в рамках подпрограммы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 Ивнянского района»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2027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1.55.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56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награжд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нных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57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58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«Здоровый образ жизни»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2027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59.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«Молодые семьи»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63.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жь, нуждающаяся в особой защите государства»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2027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1.67.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по направлению «Детские и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жные общественные объединения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», директор Быкова Е.Ю.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Отчет по охвату численности, Областной рейтинг</w:t>
            </w:r>
          </w:p>
        </w:tc>
      </w:tr>
      <w:bookmarkEnd w:id="30"/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Организованы и проведены прочи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75.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70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</w:t>
            </w:r>
            <w: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 направлению Проектная деятельность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Х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78.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80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Проведение мероприятия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8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Контрольная точка 1.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81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Выделение средств победителям конкурса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12.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2027</w:t>
            </w:r>
          </w:p>
        </w:tc>
        <w:tc>
          <w:tcPr>
            <w:tcW w:w="35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 w:clear="all"/>
      </w:r>
    </w:p>
    <w:p>
      <w:pPr>
        <w:spacing w:after="0" w:line="240" w:lineRule="auto"/>
        <w:ind w:right="962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УТВЕРЖДЕН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постановлением администрации</w:t>
      </w:r>
    </w:p>
    <w:p>
      <w:pPr>
        <w:spacing w:after="0" w:line="240" w:lineRule="auto"/>
        <w:ind w:right="678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Ивнянского района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«___» ___________ 2024 №_______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sz w:val="18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ПАСПОРТ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комплекса процессных мероприятий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«Гражданское и патриотическое воспитание молодежи Ивнянского района» 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(далее – комплекс процессных мероприятий 2)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b/>
          <w:sz w:val="26"/>
          <w:szCs w:val="26"/>
        </w:rPr>
      </w:pPr>
    </w:p>
    <w:p>
      <w:pPr>
        <w:numPr>
          <w:numId w:val="8"/>
          <w:ilvl w:val="0"/>
        </w:numPr>
        <w:spacing w:after="0" w:line="240" w:lineRule="auto"/>
        <w:ind w:left="284" w:hanging="284"/>
        <w:contextualSpacing/>
        <w:jc w:val="center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Общие положения</w:t>
      </w:r>
    </w:p>
    <w:p>
      <w:pPr>
        <w:spacing w:after="0" w:line="240" w:lineRule="auto"/>
        <w:rPr>
          <w:rFonts w:ascii="Times New Roman" w:hAnsi="Times New Roman" w:eastAsia="Times New Roman"/>
          <w:b/>
          <w:sz w:val="26"/>
          <w:szCs w:val="26"/>
        </w:rPr>
      </w:pPr>
    </w:p>
    <w:tbl>
      <w:tblPr>
        <w:tblW w:w="15452" w:type="dxa"/>
        <w:tblInd w:w="-856" w:type="dxa"/>
        <w:tblLook w:val="01E0" w:firstRow="1" w:lastRow="1" w:firstColumn="1" w:lastColumn="1" w:noHBand="0" w:noVBand="0"/>
      </w:tblPr>
      <w:tblGrid>
        <w:gridCol w:w="7795"/>
        <w:gridCol w:w="7657"/>
      </w:tblGrid>
      <w:tr>
        <w:trPr>
          <w:trHeight w:val="133"/>
        </w:trPr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Ответственный орган: МКУ «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»</w:t>
            </w:r>
          </w:p>
        </w:tc>
        <w:tc>
          <w:tcPr>
            <w:tcW w:w="7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Наименование ОИВ: Быкова Елена Юрьевна</w:t>
            </w:r>
          </w:p>
        </w:tc>
      </w:tr>
      <w:tr>
        <w:trPr>
          <w:trHeight w:val="80"/>
        </w:trPr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Связь с муниципальной программой: Подпрограмма «Молод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жь Ивнянского района»</w:t>
            </w:r>
          </w:p>
        </w:tc>
        <w:tc>
          <w:tcPr>
            <w:tcW w:w="7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Муниципальная программа «Развитие молод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жной политики на территории Ивнянского района»</w:t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16"/>
          <w:szCs w:val="16"/>
        </w:rPr>
      </w:pPr>
    </w:p>
    <w:p>
      <w:pPr>
        <w:numPr>
          <w:numId w:val="8"/>
          <w:ilvl w:val="0"/>
        </w:numPr>
        <w:spacing w:after="0" w:line="240" w:lineRule="auto"/>
        <w:ind w:left="284" w:hanging="284"/>
        <w:contextualSpacing/>
        <w:jc w:val="center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Показатели комплекса процессных мероприятий 2</w:t>
      </w:r>
    </w:p>
    <w:p>
      <w:pPr>
        <w:spacing w:after="0" w:line="240" w:lineRule="auto"/>
        <w:contextualSpacing/>
        <w:rPr>
          <w:rFonts w:ascii="Times New Roman" w:hAnsi="Times New Roman" w:eastAsia="Times New Roman"/>
          <w:b/>
          <w:sz w:val="26"/>
          <w:szCs w:val="26"/>
        </w:rPr>
      </w:pPr>
    </w:p>
    <w:tbl>
      <w:tblPr>
        <w:tblW w:w="15452" w:type="dxa"/>
        <w:tblInd w:w="-856" w:type="dxa"/>
        <w:tblLayout w:type="fixed"/>
        <w:tblLook w:val="01E0" w:firstRow="1" w:lastRow="1" w:firstColumn="1" w:lastColumn="1" w:noHBand="0" w:noVBand="0"/>
      </w:tblPr>
      <w:tblGrid>
        <w:gridCol w:w="572"/>
        <w:gridCol w:w="4791"/>
        <w:gridCol w:w="1134"/>
        <w:gridCol w:w="993"/>
        <w:gridCol w:w="992"/>
        <w:gridCol w:w="850"/>
        <w:gridCol w:w="567"/>
        <w:gridCol w:w="567"/>
        <w:gridCol w:w="567"/>
        <w:gridCol w:w="567"/>
        <w:gridCol w:w="567"/>
        <w:gridCol w:w="567"/>
        <w:gridCol w:w="567"/>
        <w:gridCol w:w="1276"/>
        <w:gridCol w:w="875"/>
      </w:tblGrid>
      <w:tr>
        <w:trPr>
          <w:trHeight w:val="120"/>
        </w:trPr>
        <w:tc>
          <w:tcPr>
            <w:tcW w:w="5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п/п</w:t>
            </w:r>
          </w:p>
        </w:tc>
        <w:tc>
          <w:tcPr>
            <w:tcW w:w="4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6"/>
                <w:szCs w:val="16"/>
              </w:rPr>
              <w:t xml:space="preserve">Признак возрастания/ убывания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Уровень показателя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Единица измерения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(по ОКЕИ)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Базовое значение</w:t>
            </w:r>
          </w:p>
        </w:tc>
        <w:tc>
          <w:tcPr>
            <w:tcW w:w="34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Значение показателей по годам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Ответственный за достижение показателя</w:t>
            </w:r>
          </w:p>
        </w:tc>
        <w:tc>
          <w:tcPr>
            <w:tcW w:w="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Информационная система</w:t>
            </w:r>
          </w:p>
        </w:tc>
      </w:tr>
      <w:tr>
        <w:trPr>
          <w:trHeight w:val="207"/>
        </w:trPr>
        <w:tc>
          <w:tcPr>
            <w:tcW w:w="5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479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значение</w:t>
            </w:r>
          </w:p>
        </w:tc>
        <w:tc>
          <w:tcPr>
            <w:tcW w:w="56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год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</w:tr>
      <w:tr>
        <w:trPr>
          <w:trHeight w:val="144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4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13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14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15</w:t>
            </w:r>
          </w:p>
        </w:tc>
      </w:tr>
      <w:tr>
        <w:trPr>
          <w:trHeight w:val="243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1.</w:t>
            </w:r>
          </w:p>
        </w:tc>
        <w:tc>
          <w:tcPr>
            <w:tcW w:w="1488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Задача 1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 Развитие военно-патриотического воспитания граждан, укрепление престижа службы в Вооруженных Силах Российской Федерации и правоохранительных органах необходимо реализовать основное мероприятие</w:t>
            </w:r>
          </w:p>
        </w:tc>
      </w:tr>
      <w:tr>
        <w:trPr>
          <w:trHeight w:val="164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1.1</w:t>
            </w:r>
          </w:p>
        </w:tc>
        <w:tc>
          <w:tcPr>
            <w:tcW w:w="4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Число молодежи в возрасте от 14 до 35 лет задействованных в мероприятиях патриотической направленности 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16"/>
                <w:szCs w:val="16"/>
              </w:rPr>
              <w:t xml:space="preserve">КМП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Чел. 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4095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4144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4159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4174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4194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4209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4219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МКУ «УМПТИС»</w:t>
            </w:r>
          </w:p>
        </w:tc>
        <w:tc>
          <w:tcPr>
            <w:tcW w:w="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</w:t>
            </w:r>
          </w:p>
        </w:tc>
      </w:tr>
    </w:tbl>
    <w:p>
      <w:pPr>
        <w:spacing w:after="0" w:line="240" w:lineRule="auto"/>
        <w:contextualSpacing/>
        <w:rPr>
          <w:rFonts w:ascii="Times New Roman" w:hAnsi="Times New Roman" w:eastAsia="Times New Roman"/>
          <w:b/>
          <w:sz w:val="26"/>
          <w:szCs w:val="26"/>
        </w:rPr>
      </w:pPr>
    </w:p>
    <w:p>
      <w:pPr>
        <w:numPr>
          <w:numId w:val="8"/>
          <w:ilvl w:val="0"/>
        </w:numPr>
        <w:spacing w:after="0" w:line="240" w:lineRule="auto"/>
        <w:ind w:left="284" w:hanging="284"/>
        <w:contextualSpacing/>
        <w:jc w:val="center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Помесячный план достижения показателей комплекса процессных мероприятий 2 в 2025 году</w:t>
      </w:r>
    </w:p>
    <w:p>
      <w:pPr>
        <w:spacing w:after="0" w:line="240" w:lineRule="auto"/>
        <w:contextualSpacing/>
        <w:rPr>
          <w:rFonts w:ascii="Times New Roman" w:hAnsi="Times New Roman" w:eastAsia="Times New Roman"/>
          <w:b/>
          <w:sz w:val="26"/>
          <w:szCs w:val="26"/>
        </w:rPr>
      </w:pPr>
    </w:p>
    <w:tbl>
      <w:tblPr>
        <w:tblW w:w="5347" w:type="pct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3"/>
        <w:gridCol w:w="5097"/>
        <w:gridCol w:w="837"/>
        <w:gridCol w:w="1314"/>
        <w:gridCol w:w="655"/>
        <w:gridCol w:w="524"/>
        <w:gridCol w:w="527"/>
        <w:gridCol w:w="524"/>
        <w:gridCol w:w="524"/>
        <w:gridCol w:w="524"/>
        <w:gridCol w:w="527"/>
        <w:gridCol w:w="524"/>
        <w:gridCol w:w="524"/>
        <w:gridCol w:w="1077"/>
        <w:gridCol w:w="431"/>
        <w:gridCol w:w="1432"/>
      </w:tblGrid>
      <w:tr>
        <w:trPr>
          <w:trHeight w:val="187"/>
          <w:tblHeader/>
        </w:trPr>
        <w:tc>
          <w:tcPr>
            <w:tcW w:w="180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№ п/п</w:t>
            </w:r>
          </w:p>
        </w:tc>
        <w:tc>
          <w:tcPr>
            <w:tcW w:w="1633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Показатели комплекса процессных мероприятий</w:t>
            </w:r>
          </w:p>
        </w:tc>
        <w:tc>
          <w:tcPr>
            <w:tcW w:w="268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Уровень показателя</w:t>
            </w:r>
          </w:p>
        </w:tc>
        <w:tc>
          <w:tcPr>
            <w:tcW w:w="421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Единица измерения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(по ОКЕИ)</w:t>
            </w:r>
          </w:p>
        </w:tc>
        <w:tc>
          <w:tcPr>
            <w:tcW w:w="2038" w:type="pct"/>
            <w:gridSpan w:val="11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Плановые значения по месяцам</w:t>
            </w:r>
          </w:p>
        </w:tc>
        <w:tc>
          <w:tcPr>
            <w:tcW w:w="459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sz w:val="16"/>
                <w:szCs w:val="16"/>
              </w:rPr>
              <w:t xml:space="preserve">На конец 2025года</w:t>
            </w:r>
          </w:p>
        </w:tc>
      </w:tr>
      <w:tr>
        <w:trPr>
          <w:trHeight w:val="77"/>
          <w:tblHeader/>
        </w:trPr>
        <w:tc>
          <w:tcPr>
            <w:tcW w:w="180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1633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268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421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21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янв.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фев.</w:t>
            </w:r>
          </w:p>
        </w:tc>
        <w:tc>
          <w:tcPr>
            <w:tcW w:w="169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март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апр.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май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июнь</w:t>
            </w:r>
          </w:p>
        </w:tc>
        <w:tc>
          <w:tcPr>
            <w:tcW w:w="169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июль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авг.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сен.</w:t>
            </w:r>
          </w:p>
        </w:tc>
        <w:tc>
          <w:tcPr>
            <w:tcW w:w="345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окт.</w:t>
            </w:r>
          </w:p>
        </w:tc>
        <w:tc>
          <w:tcPr>
            <w:tcW w:w="138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ноя.</w:t>
            </w:r>
          </w:p>
        </w:tc>
        <w:tc>
          <w:tcPr>
            <w:tcW w:w="459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trHeight w:val="205"/>
        </w:trPr>
        <w:tc>
          <w:tcPr>
            <w:tcW w:w="18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1.</w:t>
            </w:r>
          </w:p>
        </w:tc>
        <w:tc>
          <w:tcPr>
            <w:tcW w:w="4820" w:type="pct"/>
            <w:gridSpan w:val="15"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Задача 1. 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Развитие военно-патриотического воспитания граждан, укрепление престижа службы в Вооруженных Силах Российской Федерации и правоохранительных органах необходимо реализовать основное мероприятие</w:t>
            </w:r>
          </w:p>
        </w:tc>
      </w:tr>
      <w:tr>
        <w:trPr>
          <w:trHeight w:val="205"/>
        </w:trPr>
        <w:tc>
          <w:tcPr>
            <w:tcW w:w="180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1.1.</w:t>
            </w:r>
          </w:p>
        </w:tc>
        <w:tc>
          <w:tcPr>
            <w:tcW w:w="1633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Число молодежи в возрасте от 14 до 35 лет задействованных в мероприятиях патриотической направленности</w:t>
            </w:r>
          </w:p>
        </w:tc>
        <w:tc>
          <w:tcPr>
            <w:tcW w:w="268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i/>
                <w:color w:val="000000"/>
                <w:sz w:val="16"/>
                <w:szCs w:val="16"/>
              </w:rPr>
              <w:t xml:space="preserve">КМП</w:t>
            </w:r>
          </w:p>
        </w:tc>
        <w:tc>
          <w:tcPr>
            <w:tcW w:w="421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Чел. </w:t>
            </w:r>
          </w:p>
        </w:tc>
        <w:tc>
          <w:tcPr>
            <w:tcW w:w="210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i/>
                <w:sz w:val="16"/>
                <w:szCs w:val="16"/>
              </w:rPr>
              <w:t xml:space="preserve">-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i/>
                <w:sz w:val="16"/>
                <w:szCs w:val="16"/>
              </w:rPr>
              <w:t xml:space="preserve">-</w:t>
            </w:r>
          </w:p>
        </w:tc>
        <w:tc>
          <w:tcPr>
            <w:tcW w:w="169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</w:t>
            </w:r>
          </w:p>
        </w:tc>
        <w:tc>
          <w:tcPr>
            <w:tcW w:w="169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</w:t>
            </w:r>
          </w:p>
        </w:tc>
        <w:tc>
          <w:tcPr>
            <w:tcW w:w="168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</w:t>
            </w:r>
          </w:p>
        </w:tc>
        <w:tc>
          <w:tcPr>
            <w:tcW w:w="34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</w:t>
            </w:r>
          </w:p>
        </w:tc>
        <w:tc>
          <w:tcPr>
            <w:tcW w:w="138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</w:t>
            </w:r>
          </w:p>
        </w:tc>
        <w:tc>
          <w:tcPr>
            <w:tcW w:w="459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4144</w:t>
            </w:r>
          </w:p>
        </w:tc>
      </w:tr>
    </w:tbl>
    <w:p>
      <w:pPr>
        <w:spacing w:before="240" w:after="0" w:line="240" w:lineRule="auto"/>
        <w:rPr>
          <w:rFonts w:ascii="Times New Roman" w:hAnsi="Times New Roman" w:eastAsia="Times New Roman"/>
          <w:sz w:val="20"/>
          <w:szCs w:val="20"/>
        </w:rPr>
      </w:pPr>
    </w:p>
    <w:p>
      <w:pPr>
        <w:spacing w:before="240" w:after="0" w:line="240" w:lineRule="auto"/>
        <w:rPr>
          <w:rFonts w:ascii="Times New Roman" w:hAnsi="Times New Roman" w:eastAsia="Times New Roman"/>
          <w:sz w:val="20"/>
          <w:szCs w:val="20"/>
        </w:rPr>
      </w:pPr>
    </w:p>
    <w:p>
      <w:pPr>
        <w:spacing w:before="240" w:after="0" w:line="240" w:lineRule="auto"/>
        <w:rPr>
          <w:rFonts w:ascii="Times New Roman" w:hAnsi="Times New Roman" w:eastAsia="Times New Roman"/>
          <w:sz w:val="20"/>
          <w:szCs w:val="20"/>
        </w:rPr>
      </w:pPr>
    </w:p>
    <w:p>
      <w:pPr>
        <w:numPr>
          <w:numId w:val="8"/>
          <w:ilvl w:val="0"/>
        </w:numPr>
        <w:spacing w:after="0" w:line="240" w:lineRule="auto"/>
        <w:ind w:left="284" w:hanging="284"/>
        <w:contextualSpacing/>
        <w:jc w:val="center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Перечень мероприятий (результатов) комплекса процессных мероприятий 2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sz w:val="20"/>
          <w:szCs w:val="20"/>
        </w:rPr>
      </w:pPr>
    </w:p>
    <w:tbl>
      <w:tblPr>
        <w:tblW w:w="15452" w:type="dxa"/>
        <w:tblInd w:w="-856" w:type="dxa"/>
        <w:tblLook w:val="01E0" w:firstRow="1" w:lastRow="1" w:firstColumn="1" w:lastColumn="1" w:noHBand="0" w:noVBand="0"/>
      </w:tblPr>
      <w:tblGrid>
        <w:gridCol w:w="445"/>
        <w:gridCol w:w="5548"/>
        <w:gridCol w:w="1547"/>
        <w:gridCol w:w="1125"/>
        <w:gridCol w:w="870"/>
        <w:gridCol w:w="536"/>
        <w:gridCol w:w="561"/>
        <w:gridCol w:w="567"/>
        <w:gridCol w:w="567"/>
        <w:gridCol w:w="567"/>
        <w:gridCol w:w="567"/>
        <w:gridCol w:w="567"/>
        <w:gridCol w:w="1985"/>
      </w:tblGrid>
      <w:tr>
        <w:trPr>
          <w:trHeight w:val="184"/>
        </w:trPr>
        <w:tc>
          <w:tcPr>
            <w:tcW w:w="4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№ п/п</w:t>
            </w:r>
          </w:p>
        </w:tc>
        <w:tc>
          <w:tcPr>
            <w:tcW w:w="55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Наименование мероприятия (результата)</w:t>
            </w:r>
          </w:p>
        </w:tc>
        <w:tc>
          <w:tcPr>
            <w:tcW w:w="15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Тип мероприятий (результата)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Единица измерения (по ОКЕИ)</w:t>
            </w:r>
          </w:p>
        </w:tc>
        <w:tc>
          <w:tcPr>
            <w:tcW w:w="140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Базовое значение</w:t>
            </w:r>
          </w:p>
        </w:tc>
        <w:tc>
          <w:tcPr>
            <w:tcW w:w="33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Значения мероприятия (результата) по годам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Связь с показателями комплекса процессных мероприятий</w:t>
            </w:r>
          </w:p>
        </w:tc>
      </w:tr>
      <w:tr>
        <w:trPr>
          <w:trHeight w:val="130"/>
        </w:trPr>
        <w:tc>
          <w:tcPr>
            <w:tcW w:w="4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55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15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значение</w:t>
            </w:r>
          </w:p>
        </w:tc>
        <w:tc>
          <w:tcPr>
            <w:tcW w:w="53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год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19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</w:tr>
      <w:tr>
        <w:trPr>
          <w:trHeight w:val="147"/>
        </w:trPr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5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13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14</w:t>
            </w:r>
          </w:p>
        </w:tc>
      </w:tr>
      <w:tr>
        <w:trPr>
          <w:trHeight w:val="197"/>
        </w:trPr>
        <w:tc>
          <w:tcPr>
            <w:tcW w:w="1545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Задача 1. 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Развитие военно-патриотического воспитания граждан, укрепление престижа службы в Вооруженных Силах Российской Федерации и правоохранительных органах необходимо реализовать основное мероприятие</w:t>
            </w:r>
          </w:p>
        </w:tc>
      </w:tr>
      <w:tr>
        <w:trPr>
          <w:trHeight w:val="119"/>
        </w:trPr>
        <w:tc>
          <w:tcPr>
            <w:tcW w:w="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1.</w:t>
            </w:r>
          </w:p>
        </w:tc>
        <w:tc>
          <w:tcPr>
            <w:tcW w:w="5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iCs/>
                <w:sz w:val="16"/>
                <w:szCs w:val="16"/>
              </w:rPr>
              <w:t xml:space="preserve">Мероприятие (результат) </w:t>
            </w:r>
            <w:r>
              <w:rPr>
                <w:rFonts w:ascii="Times New Roman" w:hAnsi="Times New Roman" w:eastAsia="Times New Roman"/>
                <w:iCs/>
                <w:sz w:val="16"/>
                <w:szCs w:val="16"/>
              </w:rPr>
              <w:t xml:space="preserve">«</w:t>
            </w:r>
            <w:r>
              <w:rPr>
                <w:rFonts w:ascii="Times New Roman" w:hAnsi="Times New Roman" w:eastAsia="Times New Roman"/>
                <w:iCs/>
                <w:sz w:val="16"/>
                <w:szCs w:val="16"/>
              </w:rPr>
              <w:t xml:space="preserve">Организованны и проведены мероприятия </w:t>
            </w:r>
            <w:r>
              <w:rPr>
                <w:rFonts w:ascii="Times New Roman" w:hAnsi="Times New Roman" w:eastAsia="Times New Roman"/>
                <w:iCs/>
                <w:sz w:val="16"/>
                <w:szCs w:val="16"/>
              </w:rPr>
              <w:t xml:space="preserve">патриотической направленности</w:t>
            </w:r>
            <w:r>
              <w:rPr>
                <w:rFonts w:ascii="Times New Roman" w:hAnsi="Times New Roman" w:eastAsia="Times New Roman"/>
                <w:iCs/>
                <w:sz w:val="16"/>
                <w:szCs w:val="16"/>
              </w:rPr>
              <w:t xml:space="preserve">»</w:t>
            </w:r>
            <w:r>
              <w:rPr>
                <w:rFonts w:ascii="Times New Roman" w:hAnsi="Times New Roman" w:eastAsia="Times New Roman"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Организация и проведения мероприятия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)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82,5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2023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83,5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83,8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84,1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84,5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84,8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85,0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Cs/>
                <w:iCs/>
                <w:color w:val="000000"/>
                <w:sz w:val="16"/>
                <w:szCs w:val="16"/>
              </w:rPr>
              <w:t xml:space="preserve">Доля молодых граждан, участвующих в мероприятиях по патриотическому воспитанию, по отношению к общему количеству молод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 w:eastAsia="Times New Roman"/>
                <w:bCs/>
                <w:iCs/>
                <w:color w:val="000000"/>
                <w:sz w:val="16"/>
                <w:szCs w:val="16"/>
              </w:rPr>
              <w:t xml:space="preserve">жи района</w:t>
            </w:r>
          </w:p>
        </w:tc>
      </w:tr>
      <w:tr>
        <w:trPr>
          <w:trHeight w:val="119"/>
        </w:trPr>
        <w:tc>
          <w:tcPr>
            <w:tcW w:w="15452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Cs/>
                <w:iCs/>
                <w:color w:val="000000"/>
                <w:sz w:val="16"/>
                <w:szCs w:val="16"/>
              </w:rPr>
              <w:t xml:space="preserve">В рамках мероприятия организованы и проведены мероприятия «Патриотические акции», акция к 9 мая, «День защитника Отечества», «Военно-спортивное испытание Путь силы», «Соревнования по АРБ», «Акция Блокадный хлеб», мероприятия по сохранению исторической памяти.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 w:eastAsia="Times New Roman"/>
          <w:sz w:val="20"/>
          <w:szCs w:val="20"/>
        </w:rPr>
      </w:pPr>
    </w:p>
    <w:p>
      <w:pPr>
        <w:numPr>
          <w:numId w:val="8"/>
          <w:ilvl w:val="0"/>
        </w:numPr>
        <w:spacing w:after="0" w:line="240" w:lineRule="auto"/>
        <w:ind w:left="284" w:hanging="284"/>
        <w:contextualSpacing/>
        <w:jc w:val="center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Финансовое обеспечение комплекса процессных мероприятий 2</w:t>
      </w:r>
    </w:p>
    <w:p>
      <w:pPr>
        <w:spacing w:after="0" w:line="240" w:lineRule="auto"/>
        <w:jc w:val="right"/>
        <w:rPr>
          <w:rFonts w:ascii="Times New Roman" w:hAnsi="Times New Roman" w:eastAsia="Times New Roman"/>
          <w:sz w:val="20"/>
          <w:szCs w:val="20"/>
        </w:rPr>
      </w:pPr>
      <w:r>
        <w:rPr>
          <w:rFonts w:ascii="Times New Roman" w:hAnsi="Times New Roman" w:eastAsia="Times New Roman"/>
          <w:sz w:val="20"/>
          <w:szCs w:val="20"/>
        </w:rPr>
        <w:t xml:space="preserve">Таблица 1</w:t>
      </w:r>
    </w:p>
    <w:tbl>
      <w:tblPr>
        <w:tblW w:w="15452" w:type="dxa"/>
        <w:tblInd w:w="-856" w:type="dxa"/>
        <w:tblLayout w:type="fixed"/>
        <w:tblLook w:val="01E0" w:firstRow="1" w:lastRow="1" w:firstColumn="1" w:lastColumn="1" w:noHBand="0" w:noVBand="0"/>
      </w:tblPr>
      <w:tblGrid>
        <w:gridCol w:w="5246"/>
        <w:gridCol w:w="1701"/>
        <w:gridCol w:w="992"/>
        <w:gridCol w:w="992"/>
        <w:gridCol w:w="1134"/>
        <w:gridCol w:w="1276"/>
        <w:gridCol w:w="1417"/>
        <w:gridCol w:w="1418"/>
        <w:gridCol w:w="1276"/>
      </w:tblGrid>
      <w:tr>
        <w:trPr>
          <w:trHeight w:val="445"/>
          <w:tblHeader/>
        </w:trPr>
        <w:tc>
          <w:tcPr>
            <w:tcW w:w="52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Наименование мероприятия (результата) /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источник финансового обеспечения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8"/>
                <w:szCs w:val="20"/>
              </w:rPr>
              <w:t xml:space="preserve">Код бюджетной классификации</w:t>
            </w:r>
          </w:p>
        </w:tc>
        <w:tc>
          <w:tcPr>
            <w:tcW w:w="85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Объем финансового обеспечения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по годам реализации, тыс. рублей</w:t>
            </w:r>
          </w:p>
        </w:tc>
      </w:tr>
      <w:tr>
        <w:trPr>
          <w:trHeight w:val="139"/>
          <w:tblHeader/>
        </w:trPr>
        <w:tc>
          <w:tcPr>
            <w:tcW w:w="5246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Всего</w:t>
            </w:r>
          </w:p>
        </w:tc>
      </w:tr>
      <w:tr>
        <w:trPr>
          <w:trHeight w:val="88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9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Комплекс процессных мероприятий 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«Гражданское и патриотическое воспитание молодежи Ивнянского района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» (всего), в том числе: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05 4 02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)</w:t>
            </w:r>
          </w:p>
        </w:tc>
        <w:tc>
          <w:tcPr>
            <w:tcW w:w="1701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)</w:t>
            </w:r>
          </w:p>
        </w:tc>
        <w:tc>
          <w:tcPr>
            <w:tcW w:w="1701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iCs/>
                <w:sz w:val="16"/>
                <w:szCs w:val="16"/>
              </w:rPr>
              <w:t xml:space="preserve">Мероприятие (результат) «Организованны и проведены мероприятия патриотической направленности»</w:t>
            </w:r>
          </w:p>
        </w:tc>
        <w:tc>
          <w:tcPr>
            <w:tcW w:w="1701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891 07 07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05 4 02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ХХХХХ ХХХ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701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)</w:t>
            </w:r>
          </w:p>
        </w:tc>
        <w:tc>
          <w:tcPr>
            <w:tcW w:w="1701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)</w:t>
            </w:r>
          </w:p>
        </w:tc>
        <w:tc>
          <w:tcPr>
            <w:tcW w:w="1701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701" w:type="dxa"/>
            <w:vMerge w:val="continue"/>
            <w:tcBorders>
              <w:lef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90,0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701" w:type="dxa"/>
            <w:vMerge w:val="continue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30"/>
        </w:trPr>
        <w:tc>
          <w:tcPr>
            <w:tcW w:w="5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Нераспределенный резерв (местный бюджет)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-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 w:eastAsia="Times New Roman"/>
          <w:sz w:val="20"/>
          <w:szCs w:val="20"/>
        </w:rPr>
      </w:pPr>
    </w:p>
    <w:p/>
    <w:p/>
    <w:p/>
    <w:p/>
    <w:p/>
    <w:tbl>
      <w:tblPr>
        <w:tblStyle w:val="4"/>
        <w:tblW w:w="0" w:type="auto"/>
        <w:tblInd w:w="109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91"/>
      </w:tblGrid>
      <w:tr>
        <w:tc>
          <w:tcPr>
            <w:tcW w:w="4784" w:type="dxa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bookmarkStart w:id="31" w:name="_Hlk181262338"/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Приложение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к паспорту комплекса процессных мероприятий  «Патриотизм»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6"/>
          <w:szCs w:val="26"/>
        </w:rPr>
      </w:pPr>
    </w:p>
    <w:bookmarkEnd w:id="31"/>
    <w:p>
      <w:pPr>
        <w:spacing w:after="0" w:line="240" w:lineRule="auto"/>
        <w:jc w:val="center"/>
        <w:rPr>
          <w:rFonts w:ascii="Times New Roman" w:hAnsi="Times New Roman" w:eastAsia="Times New Roman"/>
          <w:b/>
          <w:sz w:val="26"/>
          <w:szCs w:val="26"/>
        </w:rPr>
      </w:pPr>
      <w:r>
        <w:rPr>
          <w:rFonts w:ascii="Times New Roman" w:hAnsi="Times New Roman" w:eastAsia="Times New Roman"/>
          <w:b/>
          <w:sz w:val="26"/>
          <w:szCs w:val="26"/>
        </w:rPr>
        <w:t xml:space="preserve">План реализации комплекса процессных мероприятий 2</w:t>
      </w:r>
    </w:p>
    <w:p>
      <w:pPr>
        <w:spacing w:after="0" w:line="240" w:lineRule="auto"/>
        <w:jc w:val="center"/>
        <w:rPr>
          <w:rFonts w:ascii="Times New Roman" w:hAnsi="Times New Roman" w:eastAsia="Times New Roman"/>
          <w:sz w:val="20"/>
          <w:szCs w:val="20"/>
        </w:rPr>
      </w:pPr>
    </w:p>
    <w:tbl>
      <w:tblPr>
        <w:tblW w:w="15491" w:type="dxa"/>
        <w:tblInd w:w="-856" w:type="dxa"/>
        <w:tblLook w:val="01E0" w:firstRow="1" w:lastRow="1" w:firstColumn="1" w:lastColumn="1" w:noHBand="0" w:noVBand="0"/>
      </w:tblPr>
      <w:tblGrid>
        <w:gridCol w:w="9215"/>
        <w:gridCol w:w="1167"/>
        <w:gridCol w:w="3536"/>
        <w:gridCol w:w="1559"/>
        <w:gridCol w:w="14"/>
      </w:tblGrid>
      <w:tr>
        <w:trPr>
          <w:gridAfter w:val="1"/>
          <w:trHeight w:val="646"/>
          <w:tblHeader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Задача, мероприятие (результат) /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контрольная точка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Дата наступления контрольной точки</w:t>
            </w:r>
          </w:p>
        </w:tc>
        <w:tc>
          <w:tcPr>
            <w:tcW w:w="3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Ответственный исполнитель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(Ф.И.О., должность, наименование ОИВ субъекта Российской Федерации (местной администрации муниципального образования), иного государственного (муниципального) органа, организации)</w:t>
            </w: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Вид подтверждающего документа</w:t>
            </w:r>
          </w:p>
        </w:tc>
      </w:tr>
      <w:tr>
        <w:trPr>
          <w:gridAfter w:val="1"/>
          <w:trHeight w:val="64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3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4</w:t>
            </w:r>
          </w:p>
        </w:tc>
      </w:tr>
      <w:tr>
        <w:trPr>
          <w:trHeight w:val="62"/>
        </w:trPr>
        <w:tc>
          <w:tcPr>
            <w:tcW w:w="154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b/>
                <w:bCs/>
                <w:sz w:val="16"/>
                <w:szCs w:val="16"/>
              </w:rPr>
              <w:t xml:space="preserve">Задача 1. Развитие военно-патриотического воспитания граждан, укрепление престижа службы в Вооруженных Силах Российской Федерации и правоохранительных органах необходимо реализовать основное мероприятие</w:t>
            </w: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Мероприятие (результат) «Организованны и проведены мероприятия патриотической направленности»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в 2025 году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X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МКУ «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», директор Быкова Е.Ю.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Отчет по охвату численности, Областной рейтинг</w:t>
            </w: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 Закупка материальной баз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1.2.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1.3. Проведени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е мероприятия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«Патриотические акции»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Проведени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е мероприятия «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Акции к 9 мая»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8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«День защитника Отечества»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10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«Военно-спортивное состязание Зарница 2.0»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15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«Военно-спортивное испытание Путь силы»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17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18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«Соревнования по АРБ»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Проведение мероприяти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я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«Акция Блокадный хлеб»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«Мероприятия по сохранению исторической памяти»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24.12.2025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Мероприятие (результат) «Организованны и проведены мероприятия патриотической направленности»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в 2026 году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X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МКУ «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», директор Быкова Е.Ю.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Отчет по охвату численности, Областной рейтинг</w:t>
            </w: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 Закупка материальной баз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1.2.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1.3. Проведени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е мероприятия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«Патриотические акции»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Проведени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е мероприятия «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Акции к 9 мая»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8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«День защитника Отечества»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10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«Военно-спортивное состязание Зарница 2.0»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15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«Военно-спортивное испытание Путь силы»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17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18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«Соревнования по АРБ»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Проведение мероприяти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я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«Акция Блокадный хлеб»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«Мероприятия по сохранению исторической памяти»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Мероприятие (результат) «Организованны и проведены мероприятия патриотической направленности»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в 2027 году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X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МКУ «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», директор Быкова Е.Ю.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Отчет по охвату численности, Областной рейтинг</w:t>
            </w: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 Закупка материальной баз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1.2.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1.3. Проведени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е мероприятия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«Патриотические акции»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5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Проведени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е мероприятия «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Акции к 9 мая» 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8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«День защитника Отечества»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10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 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«Военно-спортивное состязание Зарница 2.0»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15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«Военно-спортивное испытание Путь силы»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6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17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18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«Соревнования по АРБ»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9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0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Проведение мероприяти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я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«Акция Блокадный хлеб»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Закупка материальной базы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Формирование списка участников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24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11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 w:eastAsia="Times New Roman"/>
                <w:sz w:val="16"/>
                <w:szCs w:val="16"/>
                <w:lang w:val="en-US"/>
              </w:rPr>
              <w:t xml:space="preserve">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  <w:tr>
        <w:trPr>
          <w:gridAfter w:val="1"/>
          <w:trHeight w:val="62"/>
        </w:trPr>
        <w:tc>
          <w:tcPr>
            <w:tcW w:w="9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  Контрольная точка 1.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Проведение мероприятия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«Мероприятия по сохранению исторической памяти»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24.12.202</w:t>
            </w: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7</w:t>
            </w:r>
          </w:p>
        </w:tc>
        <w:tc>
          <w:tcPr>
            <w:tcW w:w="3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16"/>
                <w:szCs w:val="16"/>
              </w:rPr>
            </w:pPr>
          </w:p>
        </w:tc>
      </w:tr>
    </w:tbl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ind w:right="962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УТВЕРЖДЕН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постановлением администрации</w:t>
      </w:r>
    </w:p>
    <w:p>
      <w:pPr>
        <w:spacing w:after="0" w:line="240" w:lineRule="auto"/>
        <w:ind w:right="678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Ивнянского района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«___» ___________ 2024 №_______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ПАСПОРТ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комплекса процессных мероприятий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</w:t>
      </w:r>
      <w:r>
        <w:rPr>
          <w:rFonts w:ascii="Times New Roman" w:hAnsi="Times New Roman"/>
          <w:b/>
          <w:sz w:val="26"/>
          <w:szCs w:val="26"/>
        </w:rPr>
        <w:t xml:space="preserve">Совершенствование </w:t>
      </w:r>
      <w:r>
        <w:rPr>
          <w:rFonts w:ascii="Times New Roman" w:hAnsi="Times New Roman"/>
          <w:b/>
          <w:sz w:val="26"/>
          <w:szCs w:val="26"/>
        </w:rPr>
        <w:t xml:space="preserve">и развитие </w:t>
      </w:r>
      <w:r>
        <w:rPr>
          <w:rFonts w:ascii="Times New Roman" w:hAnsi="Times New Roman"/>
          <w:b/>
          <w:sz w:val="26"/>
          <w:szCs w:val="26"/>
        </w:rPr>
        <w:t xml:space="preserve">добровольческой (волонтерской) деятельности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на территории Ивнянского района</w:t>
      </w:r>
      <w:r>
        <w:rPr>
          <w:rFonts w:ascii="Times New Roman" w:hAnsi="Times New Roman"/>
          <w:b/>
          <w:sz w:val="26"/>
          <w:szCs w:val="26"/>
        </w:rPr>
        <w:t xml:space="preserve">»</w:t>
      </w:r>
      <w:r>
        <w:rPr>
          <w:rFonts w:ascii="Times New Roman" w:hAnsi="Times New Roman"/>
          <w:b/>
          <w:sz w:val="26"/>
          <w:szCs w:val="26"/>
        </w:rPr>
        <w:t xml:space="preserve"> (далее – комплекс процессных мероприятий 3)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>
      <w:pPr>
        <w:pStyle w:val="ab"/>
        <w:numPr>
          <w:numId w:val="9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Общие положения</w:t>
      </w:r>
    </w:p>
    <w:p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15541" w:type="dxa"/>
        <w:tblInd w:w="-856" w:type="dxa"/>
        <w:tblLook w:val="01E0" w:firstRow="1" w:lastRow="1" w:firstColumn="1" w:lastColumn="1" w:noHBand="0" w:noVBand="0"/>
      </w:tblPr>
      <w:tblGrid>
        <w:gridCol w:w="7795"/>
        <w:gridCol w:w="7746"/>
      </w:tblGrid>
      <w:tr>
        <w:trPr>
          <w:trHeight w:val="133"/>
        </w:trPr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ный орган: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</w:p>
        </w:tc>
        <w:tc>
          <w:tcPr>
            <w:tcW w:w="7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Наименование ОИВ: Быкова Елена Юрьевна</w:t>
            </w:r>
          </w:p>
        </w:tc>
      </w:tr>
      <w:tr>
        <w:trPr>
          <w:trHeight w:val="80"/>
        </w:trPr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Связь с муниципальной программой: Подпрограмма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 Ивнянского района»</w:t>
            </w:r>
          </w:p>
        </w:tc>
        <w:tc>
          <w:tcPr>
            <w:tcW w:w="7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программа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Развитие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жной политики на территории Ивнянского района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>
      <w:pPr>
        <w:pStyle w:val="ab"/>
        <w:numPr>
          <w:numId w:val="9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Показатели комплекса процессных мероприятий</w:t>
      </w:r>
      <w:r>
        <w:rPr>
          <w:rFonts w:ascii="Times New Roman" w:hAnsi="Times New Roman"/>
          <w:b/>
          <w:sz w:val="26"/>
          <w:szCs w:val="26"/>
        </w:rPr>
        <w:t xml:space="preserve"> 3</w:t>
      </w:r>
    </w:p>
    <w:p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559" w:type="dxa"/>
        <w:tblInd w:w="-856" w:type="dxa"/>
        <w:tblLayout w:type="fixed"/>
        <w:tblLook w:val="01E0" w:firstRow="1" w:lastRow="1" w:firstColumn="1" w:lastColumn="1" w:noHBand="0" w:noVBand="0"/>
      </w:tblPr>
      <w:tblGrid>
        <w:gridCol w:w="572"/>
        <w:gridCol w:w="4366"/>
        <w:gridCol w:w="1134"/>
        <w:gridCol w:w="992"/>
        <w:gridCol w:w="993"/>
        <w:gridCol w:w="850"/>
        <w:gridCol w:w="567"/>
        <w:gridCol w:w="567"/>
        <w:gridCol w:w="567"/>
        <w:gridCol w:w="567"/>
        <w:gridCol w:w="567"/>
        <w:gridCol w:w="567"/>
        <w:gridCol w:w="567"/>
        <w:gridCol w:w="1321"/>
        <w:gridCol w:w="1362"/>
      </w:tblGrid>
      <w:tr>
        <w:trPr>
          <w:trHeight w:val="286"/>
        </w:trPr>
        <w:tc>
          <w:tcPr>
            <w:tcW w:w="5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п/п</w:t>
            </w:r>
          </w:p>
        </w:tc>
        <w:tc>
          <w:tcPr>
            <w:tcW w:w="4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Уровень показателя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(по ОКЕИ)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Базовое значение</w:t>
            </w:r>
          </w:p>
        </w:tc>
        <w:tc>
          <w:tcPr>
            <w:tcW w:w="34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Значение показателей по годам</w:t>
            </w:r>
          </w:p>
        </w:tc>
        <w:tc>
          <w:tcPr>
            <w:tcW w:w="13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Ответственный за достижение показателя</w:t>
            </w:r>
          </w:p>
        </w:tc>
        <w:tc>
          <w:tcPr>
            <w:tcW w:w="13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Информационная система</w:t>
            </w:r>
          </w:p>
        </w:tc>
      </w:tr>
      <w:tr>
        <w:trPr>
          <w:trHeight w:val="77"/>
        </w:trPr>
        <w:tc>
          <w:tcPr>
            <w:tcW w:w="5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36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значение</w:t>
            </w:r>
          </w:p>
        </w:tc>
        <w:tc>
          <w:tcPr>
            <w:tcW w:w="56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год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13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3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>
        <w:trPr>
          <w:trHeight w:val="144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13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14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15</w:t>
            </w:r>
          </w:p>
        </w:tc>
      </w:tr>
      <w:tr>
        <w:trPr>
          <w:trHeight w:val="243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</w:t>
            </w:r>
          </w:p>
        </w:tc>
        <w:tc>
          <w:tcPr>
            <w:tcW w:w="14987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Задача 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форм и методов работы по развитию добровольческого движения, инфраструктуры и механизмов поддержки добровольчества</w:t>
            </w:r>
          </w:p>
        </w:tc>
      </w:tr>
      <w:tr>
        <w:trPr>
          <w:trHeight w:val="428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</w:t>
            </w:r>
          </w:p>
        </w:tc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Охват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Ивнянского района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возрасте от 14 до 35 лет в рамках комплекса процессных мероприятий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«Совершенствование и развитие добровольческой (волонтерской) деятельности на территории Ивнянского района»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КМП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6,0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6,5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7,0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7,5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8,0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8,5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«УМПТИС»</w:t>
            </w:r>
          </w:p>
        </w:tc>
        <w:tc>
          <w:tcPr>
            <w:tcW w:w="13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</w:tr>
    </w:tbl>
    <w:p>
      <w:pPr>
        <w:spacing w:after="120"/>
        <w:jc w:val="center"/>
        <w:rPr>
          <w:rFonts w:ascii="Times New Roman" w:hAnsi="Times New Roman"/>
          <w:sz w:val="20"/>
          <w:szCs w:val="20"/>
        </w:rPr>
      </w:pPr>
    </w:p>
    <w:p>
      <w:pPr>
        <w:pStyle w:val="ab"/>
        <w:numPr>
          <w:numId w:val="9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Помесячный план достижения показателей комплекса процессных мероприятий 3 в 2025 году</w:t>
      </w:r>
    </w:p>
    <w:p>
      <w:pPr>
        <w:spacing w:after="12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5331" w:type="pct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2"/>
        <w:gridCol w:w="4965"/>
        <w:gridCol w:w="873"/>
        <w:gridCol w:w="1596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1500"/>
      </w:tblGrid>
      <w:tr>
        <w:trPr>
          <w:trHeight w:val="187"/>
          <w:tblHeader/>
        </w:trPr>
        <w:tc>
          <w:tcPr>
            <w:tcW w:w="181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 п/п</w:t>
            </w:r>
          </w:p>
        </w:tc>
        <w:tc>
          <w:tcPr>
            <w:tcW w:w="1596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Показатели комплекса процессных мероприятий</w:t>
            </w:r>
          </w:p>
        </w:tc>
        <w:tc>
          <w:tcPr>
            <w:tcW w:w="281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Уровень показателя</w:t>
            </w:r>
          </w:p>
        </w:tc>
        <w:tc>
          <w:tcPr>
            <w:tcW w:w="513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(по ОКЕИ)</w:t>
            </w:r>
          </w:p>
        </w:tc>
        <w:tc>
          <w:tcPr>
            <w:tcW w:w="1944" w:type="pct"/>
            <w:gridSpan w:val="11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Плановые значения по месяцам</w:t>
            </w:r>
          </w:p>
        </w:tc>
        <w:tc>
          <w:tcPr>
            <w:tcW w:w="483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2025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года</w:t>
            </w:r>
          </w:p>
        </w:tc>
      </w:tr>
      <w:tr>
        <w:trPr>
          <w:trHeight w:val="77"/>
          <w:tblHeader/>
        </w:trPr>
        <w:tc>
          <w:tcPr>
            <w:tcW w:w="181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96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81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13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7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янв.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фев.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март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апр.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май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июнь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июль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авг.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сен.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окт.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ноя.</w:t>
            </w:r>
          </w:p>
        </w:tc>
        <w:tc>
          <w:tcPr>
            <w:tcW w:w="483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4"/>
        </w:trPr>
        <w:tc>
          <w:tcPr>
            <w:tcW w:w="181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</w:t>
            </w:r>
          </w:p>
        </w:tc>
        <w:tc>
          <w:tcPr>
            <w:tcW w:w="4819" w:type="pct"/>
            <w:gridSpan w:val="15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Показатель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комплекса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форм и методов работы по развитию добровольческого движения, инфраструктуры и механизмов поддержки добровольчества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</w:tr>
      <w:tr>
        <w:trPr>
          <w:trHeight w:val="576"/>
        </w:trPr>
        <w:tc>
          <w:tcPr>
            <w:tcW w:w="181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1.1.</w:t>
            </w:r>
          </w:p>
        </w:tc>
        <w:tc>
          <w:tcPr>
            <w:tcW w:w="1596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Охват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Ивнянского района 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возрасте от 14 до 35 лет в рамках комплекса процессных мероприятий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«Совершенствование и развитие добровольческой (волонтерской) деятельности на территории Ивнянского района»</w:t>
            </w:r>
          </w:p>
        </w:tc>
        <w:tc>
          <w:tcPr>
            <w:tcW w:w="281" w:type="pc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КМП</w:t>
            </w:r>
          </w:p>
        </w:tc>
        <w:tc>
          <w:tcPr>
            <w:tcW w:w="513" w:type="pc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5,54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5,58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5,62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5,66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5,70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5,74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5,78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5,82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5,86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5,90</w:t>
            </w:r>
          </w:p>
        </w:tc>
        <w:tc>
          <w:tcPr>
            <w:tcW w:w="177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5,94</w:t>
            </w:r>
          </w:p>
        </w:tc>
        <w:tc>
          <w:tcPr>
            <w:tcW w:w="483" w:type="pct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6,0</w:t>
            </w:r>
          </w:p>
        </w:tc>
      </w:tr>
    </w:tbl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 w:clear="all"/>
      </w: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>
      <w:pPr>
        <w:pStyle w:val="ab"/>
        <w:numPr>
          <w:numId w:val="9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Перечень мероприятий (результатов) комплекса процессных мероприятий</w:t>
      </w:r>
      <w:r>
        <w:rPr>
          <w:rFonts w:ascii="Times New Roman" w:hAnsi="Times New Roman"/>
          <w:b/>
          <w:sz w:val="26"/>
          <w:szCs w:val="26"/>
        </w:rPr>
        <w:t xml:space="preserve"> 3</w:t>
      </w:r>
    </w:p>
    <w:p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15593" w:type="dxa"/>
        <w:tblInd w:w="-856" w:type="dxa"/>
        <w:tblLook w:val="01E0" w:firstRow="1" w:lastRow="1" w:firstColumn="1" w:lastColumn="1" w:noHBand="0" w:noVBand="0"/>
      </w:tblPr>
      <w:tblGrid>
        <w:gridCol w:w="717"/>
        <w:gridCol w:w="4658"/>
        <w:gridCol w:w="1699"/>
        <w:gridCol w:w="1275"/>
        <w:gridCol w:w="870"/>
        <w:gridCol w:w="563"/>
        <w:gridCol w:w="567"/>
        <w:gridCol w:w="567"/>
        <w:gridCol w:w="567"/>
        <w:gridCol w:w="567"/>
        <w:gridCol w:w="567"/>
        <w:gridCol w:w="708"/>
        <w:gridCol w:w="2268"/>
      </w:tblGrid>
      <w:tr>
        <w:trPr>
          <w:trHeight w:val="184"/>
        </w:trPr>
        <w:tc>
          <w:tcPr>
            <w:tcW w:w="7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 п/п</w:t>
            </w:r>
          </w:p>
        </w:tc>
        <w:tc>
          <w:tcPr>
            <w:tcW w:w="46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Наименование мероприятия (результата)</w:t>
            </w:r>
          </w:p>
        </w:tc>
        <w:tc>
          <w:tcPr>
            <w:tcW w:w="16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Тип мероприятий (результата)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 (по ОКЕИ)</w:t>
            </w:r>
          </w:p>
        </w:tc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Базовое значение</w:t>
            </w:r>
          </w:p>
        </w:tc>
        <w:tc>
          <w:tcPr>
            <w:tcW w:w="354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Значения мероприятия (результата) по годам</w:t>
            </w:r>
          </w:p>
        </w:tc>
        <w:tc>
          <w:tcPr>
            <w:tcW w:w="22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Связь с показателями комплекса процессных мероприятий</w:t>
            </w:r>
          </w:p>
        </w:tc>
      </w:tr>
      <w:tr>
        <w:trPr>
          <w:trHeight w:val="130"/>
        </w:trPr>
        <w:tc>
          <w:tcPr>
            <w:tcW w:w="7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65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9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значение</w:t>
            </w:r>
          </w:p>
        </w:tc>
        <w:tc>
          <w:tcPr>
            <w:tcW w:w="56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год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22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>
        <w:trPr>
          <w:trHeight w:val="147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4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12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14</w:t>
            </w:r>
          </w:p>
        </w:tc>
      </w:tr>
      <w:tr>
        <w:trPr>
          <w:trHeight w:val="197"/>
        </w:trPr>
        <w:tc>
          <w:tcPr>
            <w:tcW w:w="1559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Совершенствование форм и методов работы по развитию добровольческого движения, инфраструктуры и механизмов поддержки добровольчества</w:t>
            </w:r>
          </w:p>
        </w:tc>
      </w:tr>
      <w:tr>
        <w:trPr>
          <w:trHeight w:val="198"/>
        </w:trPr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</w:t>
            </w:r>
          </w:p>
        </w:tc>
        <w:tc>
          <w:tcPr>
            <w:tcW w:w="4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рамках комплекса процессных мероприятий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«Совершенствование и развитие добровольческой (волонтерской) деятельности на территории Ивнянского района»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Организация и проведения мероприятия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1,25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1,5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1,63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1,75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1,88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2,0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2,13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Показатель в комплексе «Охват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 Ивнянского района в возрасте от 14 до 35 лет в рамках комплекса процессных мероприятий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«Совершенствование и развитие добровольческой (волонтерской) деятельности на территории Ивнянского района»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pStyle w:val="ab"/>
        <w:numPr>
          <w:numId w:val="9"/>
          <w:ilvl w:val="0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Финансовое обеспечение комплекса процессных мероприятий</w:t>
      </w:r>
      <w:r>
        <w:rPr>
          <w:rFonts w:ascii="Times New Roman" w:hAnsi="Times New Roman"/>
          <w:b/>
          <w:sz w:val="26"/>
          <w:szCs w:val="26"/>
        </w:rPr>
        <w:t xml:space="preserve"> 3</w:t>
      </w: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Таблица 1</w:t>
      </w:r>
    </w:p>
    <w:tbl>
      <w:tblPr>
        <w:tblW w:w="15593" w:type="dxa"/>
        <w:tblInd w:w="-856" w:type="dxa"/>
        <w:tblLayout w:type="fixed"/>
        <w:tblLook w:val="01E0" w:firstRow="1" w:lastRow="1" w:firstColumn="1" w:lastColumn="1" w:noHBand="0" w:noVBand="0"/>
      </w:tblPr>
      <w:tblGrid>
        <w:gridCol w:w="7719"/>
        <w:gridCol w:w="2317"/>
        <w:gridCol w:w="879"/>
        <w:gridCol w:w="851"/>
        <w:gridCol w:w="708"/>
        <w:gridCol w:w="647"/>
        <w:gridCol w:w="771"/>
        <w:gridCol w:w="850"/>
        <w:gridCol w:w="851"/>
      </w:tblGrid>
      <w:tr>
        <w:trPr>
          <w:trHeight w:val="255"/>
          <w:tblHeader/>
        </w:trPr>
        <w:tc>
          <w:tcPr>
            <w:tcW w:w="77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Наименование мероприятия (результата) /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источник финансового обеспечения</w:t>
            </w:r>
          </w:p>
        </w:tc>
        <w:tc>
          <w:tcPr>
            <w:tcW w:w="2317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55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Объем финансового обеспечения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 годам реализации, тыс. рублей</w:t>
            </w:r>
          </w:p>
        </w:tc>
      </w:tr>
      <w:tr>
        <w:trPr>
          <w:trHeight w:val="106"/>
          <w:tblHeader/>
        </w:trPr>
        <w:tc>
          <w:tcPr>
            <w:tcW w:w="77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317" w:type="dxa"/>
            <w:vMerge w:val="continue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231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Совершенствование механизмов поддержки, форм и методов работы по развитию добровольческой (волонтерской) деятельности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»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(всего), в том числе:</w:t>
            </w:r>
          </w:p>
        </w:tc>
        <w:tc>
          <w:tcPr>
            <w:tcW w:w="2317" w:type="dxa"/>
            <w:vMerge w:val="restart"/>
            <w:tcBorders>
              <w:top w:val="single" w:color="000000" w:sz="4" w:space="0"/>
              <w:lef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05 4 03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231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231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231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231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2317" w:type="dxa"/>
            <w:vMerge w:val="continue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Организованн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и проведен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ы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мероприяти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я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рамках комплекса процессных мероприятий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«Совершенствование и развитие добровольческой (волонтерской) деятельности на территории Ивнянского района»</w:t>
            </w:r>
          </w:p>
        </w:tc>
        <w:tc>
          <w:tcPr>
            <w:tcW w:w="2317" w:type="dxa"/>
            <w:vMerge w:val="restart"/>
            <w:tcBorders>
              <w:top w:val="single" w:color="000000" w:sz="4" w:space="0"/>
              <w:lef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891 07 07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05 4 03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ХХХХХ ХХХ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231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231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231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231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16,0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2317" w:type="dxa"/>
            <w:vMerge w:val="continue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Нераспределенный резерв (местный бюджет)</w:t>
            </w:r>
          </w:p>
        </w:tc>
        <w:tc>
          <w:tcPr>
            <w:tcW w:w="2317" w:type="dxa"/>
            <w:vMerge w:val="continue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64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</w:tbl>
    <w:p>
      <w:pPr>
        <w:spacing w:before="240" w:after="120" w:line="240" w:lineRule="auto"/>
        <w:jc w:val="both"/>
        <w:rPr>
          <w:rFonts w:ascii="Times New Roman" w:hAnsi="Times New Roman"/>
          <w:sz w:val="20"/>
          <w:szCs w:val="20"/>
        </w:rPr>
      </w:pPr>
    </w:p>
    <w:p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 w:clear="all"/>
      </w:r>
    </w:p>
    <w:p>
      <w:pPr>
        <w:spacing w:after="0" w:line="240" w:lineRule="auto"/>
        <w:ind w:right="962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УТВЕРЖДЕН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постановлением администрации</w:t>
      </w:r>
    </w:p>
    <w:p>
      <w:pPr>
        <w:spacing w:after="0" w:line="240" w:lineRule="auto"/>
        <w:ind w:right="678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Ивнянского района</w:t>
      </w:r>
    </w:p>
    <w:p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«___» ___________ 2024 №_______</w:t>
      </w:r>
    </w:p>
    <w:p>
      <w:pPr>
        <w:spacing w:after="0" w:line="240" w:lineRule="auto"/>
        <w:jc w:val="center"/>
        <w:rPr>
          <w:rFonts w:ascii="Times New Roman" w:hAnsi="Times New Roman"/>
          <w:sz w:val="18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ПАСПОРТ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комплекса процессных мероприятий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«Обеспечение деятельности МКУ «</w:t>
      </w:r>
      <w:r>
        <w:rPr>
          <w:rFonts w:ascii="Times New Roman" w:hAnsi="Times New Roman"/>
          <w:b/>
          <w:sz w:val="26"/>
          <w:szCs w:val="26"/>
        </w:rPr>
        <w:t xml:space="preserve">УМПТиС</w:t>
      </w:r>
      <w:r>
        <w:rPr>
          <w:rFonts w:ascii="Times New Roman" w:hAnsi="Times New Roman"/>
          <w:b/>
          <w:sz w:val="26"/>
          <w:szCs w:val="26"/>
        </w:rPr>
        <w:t xml:space="preserve">» Ивнянского района»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(далее – комплекс процессных мероприятий </w:t>
      </w:r>
      <w:r>
        <w:rPr>
          <w:rFonts w:ascii="Times New Roman" w:hAnsi="Times New Roman"/>
          <w:b/>
          <w:sz w:val="26"/>
          <w:szCs w:val="26"/>
        </w:rPr>
        <w:t xml:space="preserve">4</w:t>
      </w:r>
      <w:r>
        <w:rPr>
          <w:rFonts w:ascii="Times New Roman" w:hAnsi="Times New Roman"/>
          <w:b/>
          <w:sz w:val="26"/>
          <w:szCs w:val="26"/>
        </w:rPr>
        <w:t xml:space="preserve">)</w:t>
      </w:r>
    </w:p>
    <w:p>
      <w:pPr>
        <w:pStyle w:val="ab"/>
        <w:numPr>
          <w:numId w:val="13"/>
          <w:ilvl w:val="0"/>
        </w:numPr>
        <w:spacing w:before="240" w:after="16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Общие положения</w:t>
      </w:r>
    </w:p>
    <w:tbl>
      <w:tblPr>
        <w:tblW w:w="15593" w:type="dxa"/>
        <w:tblInd w:w="-856" w:type="dxa"/>
        <w:tblLook w:val="01E0" w:firstRow="1" w:lastRow="1" w:firstColumn="1" w:lastColumn="1" w:noHBand="0" w:noVBand="0"/>
      </w:tblPr>
      <w:tblGrid>
        <w:gridCol w:w="7795"/>
        <w:gridCol w:w="7798"/>
      </w:tblGrid>
      <w:tr>
        <w:trPr>
          <w:trHeight w:val="133"/>
        </w:trPr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Ответствен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ный орган: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</w:p>
        </w:tc>
        <w:tc>
          <w:tcPr>
            <w:tcW w:w="7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Наименование ОИВ: Быкова Елена Юрьевна</w:t>
            </w:r>
          </w:p>
        </w:tc>
      </w:tr>
      <w:tr>
        <w:trPr>
          <w:trHeight w:val="80"/>
        </w:trPr>
        <w:tc>
          <w:tcPr>
            <w:tcW w:w="7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Связь с муниципальной программой: Подпрограмма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«Молод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жь Ивнянского района»</w:t>
            </w:r>
          </w:p>
        </w:tc>
        <w:tc>
          <w:tcPr>
            <w:tcW w:w="7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программа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Развитие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жной политики на территории Ивнянского района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</w:t>
            </w:r>
          </w:p>
        </w:tc>
      </w:tr>
    </w:tbl>
    <w:p>
      <w:pPr>
        <w:pStyle w:val="ab"/>
        <w:numPr>
          <w:numId w:val="13"/>
          <w:ilvl w:val="0"/>
        </w:numPr>
        <w:spacing w:before="24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Показатели комплекса процессных мероприятий 3</w:t>
      </w:r>
    </w:p>
    <w:tbl>
      <w:tblPr>
        <w:tblW w:w="15593" w:type="dxa"/>
        <w:tblInd w:w="-856" w:type="dxa"/>
        <w:tblLayout w:type="fixed"/>
        <w:tblLook w:val="01E0" w:firstRow="1" w:lastRow="1" w:firstColumn="1" w:lastColumn="1" w:noHBand="0" w:noVBand="0"/>
      </w:tblPr>
      <w:tblGrid>
        <w:gridCol w:w="572"/>
        <w:gridCol w:w="4366"/>
        <w:gridCol w:w="1134"/>
        <w:gridCol w:w="992"/>
        <w:gridCol w:w="993"/>
        <w:gridCol w:w="850"/>
        <w:gridCol w:w="567"/>
        <w:gridCol w:w="567"/>
        <w:gridCol w:w="567"/>
        <w:gridCol w:w="567"/>
        <w:gridCol w:w="567"/>
        <w:gridCol w:w="567"/>
        <w:gridCol w:w="567"/>
        <w:gridCol w:w="1321"/>
        <w:gridCol w:w="1396"/>
      </w:tblGrid>
      <w:tr>
        <w:trPr>
          <w:trHeight w:val="286"/>
        </w:trPr>
        <w:tc>
          <w:tcPr>
            <w:tcW w:w="5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п/п</w:t>
            </w:r>
          </w:p>
        </w:tc>
        <w:tc>
          <w:tcPr>
            <w:tcW w:w="43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Признак возрастания/ убывания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Уровень показателя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(по ОКЕИ)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Базовое значение</w:t>
            </w:r>
          </w:p>
        </w:tc>
        <w:tc>
          <w:tcPr>
            <w:tcW w:w="34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Значение показателей по годам</w:t>
            </w:r>
          </w:p>
        </w:tc>
        <w:tc>
          <w:tcPr>
            <w:tcW w:w="13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Ответственный за достижение показателя</w:t>
            </w:r>
          </w:p>
        </w:tc>
        <w:tc>
          <w:tcPr>
            <w:tcW w:w="13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Информационная система</w:t>
            </w:r>
          </w:p>
        </w:tc>
      </w:tr>
      <w:tr>
        <w:trPr>
          <w:trHeight w:val="77"/>
        </w:trPr>
        <w:tc>
          <w:tcPr>
            <w:tcW w:w="5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436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значение</w:t>
            </w:r>
          </w:p>
        </w:tc>
        <w:tc>
          <w:tcPr>
            <w:tcW w:w="56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год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13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3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>
        <w:trPr>
          <w:trHeight w:val="144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10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12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13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14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15</w:t>
            </w:r>
          </w:p>
        </w:tc>
      </w:tr>
      <w:tr>
        <w:trPr>
          <w:trHeight w:val="243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</w:t>
            </w:r>
          </w:p>
        </w:tc>
        <w:tc>
          <w:tcPr>
            <w:tcW w:w="15021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ча «Исполнение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функций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администрации Ивнянского района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в соответствии с действующим законодательством»</w:t>
            </w:r>
          </w:p>
        </w:tc>
      </w:tr>
      <w:tr>
        <w:trPr>
          <w:trHeight w:val="428"/>
        </w:trPr>
        <w:tc>
          <w:tcPr>
            <w:tcW w:w="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</w:t>
            </w:r>
          </w:p>
        </w:tc>
        <w:tc>
          <w:tcPr>
            <w:tcW w:w="4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выполненных основных мероприятий муниципальной программы от запланированных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Прогрессирующий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КМП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</w:t>
            </w:r>
          </w:p>
        </w:tc>
        <w:tc>
          <w:tcPr>
            <w:tcW w:w="1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«УМПТИС»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</w:tr>
    </w:tbl>
    <w:p>
      <w:pPr>
        <w:pStyle w:val="ab"/>
        <w:numPr>
          <w:numId w:val="13"/>
          <w:ilvl w:val="0"/>
        </w:numPr>
        <w:spacing w:before="24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Помесячный план достижения показателей комплекса процессных мероприятий 3 в 2025 году</w:t>
      </w:r>
    </w:p>
    <w:tbl>
      <w:tblPr>
        <w:tblW w:w="5343" w:type="pct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5"/>
        <w:gridCol w:w="7657"/>
        <w:gridCol w:w="851"/>
        <w:gridCol w:w="1559"/>
        <w:gridCol w:w="424"/>
        <w:gridCol w:w="427"/>
        <w:gridCol w:w="424"/>
        <w:gridCol w:w="412"/>
        <w:gridCol w:w="302"/>
        <w:gridCol w:w="424"/>
        <w:gridCol w:w="415"/>
        <w:gridCol w:w="299"/>
        <w:gridCol w:w="287"/>
        <w:gridCol w:w="427"/>
        <w:gridCol w:w="427"/>
        <w:gridCol w:w="692"/>
      </w:tblGrid>
      <w:tr>
        <w:trPr>
          <w:trHeight w:val="187"/>
          <w:tblHeader/>
        </w:trPr>
        <w:tc>
          <w:tcPr>
            <w:tcW w:w="181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 п/п</w:t>
            </w:r>
          </w:p>
        </w:tc>
        <w:tc>
          <w:tcPr>
            <w:tcW w:w="2455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Показатели комплекса процессных мероприятий</w:t>
            </w:r>
          </w:p>
        </w:tc>
        <w:tc>
          <w:tcPr>
            <w:tcW w:w="273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Уровень показателя</w:t>
            </w:r>
          </w:p>
        </w:tc>
        <w:tc>
          <w:tcPr>
            <w:tcW w:w="500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(по ОКЕИ)</w:t>
            </w:r>
          </w:p>
        </w:tc>
        <w:tc>
          <w:tcPr>
            <w:tcW w:w="1369" w:type="pct"/>
            <w:gridSpan w:val="11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Плановые значения по месяцам</w:t>
            </w:r>
          </w:p>
        </w:tc>
        <w:tc>
          <w:tcPr>
            <w:tcW w:w="222" w:type="pct"/>
            <w:vMerge w:val="restar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 конец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2025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года</w:t>
            </w:r>
          </w:p>
        </w:tc>
      </w:tr>
      <w:tr>
        <w:trPr>
          <w:trHeight w:val="77"/>
          <w:tblHeader/>
        </w:trPr>
        <w:tc>
          <w:tcPr>
            <w:tcW w:w="181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455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73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00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36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янв.</w:t>
            </w:r>
          </w:p>
        </w:tc>
        <w:tc>
          <w:tcPr>
            <w:tcW w:w="13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фев.</w:t>
            </w:r>
          </w:p>
        </w:tc>
        <w:tc>
          <w:tcPr>
            <w:tcW w:w="136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март</w:t>
            </w:r>
          </w:p>
        </w:tc>
        <w:tc>
          <w:tcPr>
            <w:tcW w:w="132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апр.</w:t>
            </w:r>
          </w:p>
        </w:tc>
        <w:tc>
          <w:tcPr>
            <w:tcW w:w="9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май</w:t>
            </w:r>
          </w:p>
        </w:tc>
        <w:tc>
          <w:tcPr>
            <w:tcW w:w="136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июнь</w:t>
            </w:r>
          </w:p>
        </w:tc>
        <w:tc>
          <w:tcPr>
            <w:tcW w:w="133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июль</w:t>
            </w:r>
          </w:p>
        </w:tc>
        <w:tc>
          <w:tcPr>
            <w:tcW w:w="96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авг.</w:t>
            </w:r>
          </w:p>
        </w:tc>
        <w:tc>
          <w:tcPr>
            <w:tcW w:w="92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сен.</w:t>
            </w:r>
          </w:p>
        </w:tc>
        <w:tc>
          <w:tcPr>
            <w:tcW w:w="13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окт.</w:t>
            </w:r>
          </w:p>
        </w:tc>
        <w:tc>
          <w:tcPr>
            <w:tcW w:w="137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ноя.</w:t>
            </w:r>
          </w:p>
        </w:tc>
        <w:tc>
          <w:tcPr>
            <w:tcW w:w="222" w:type="pct"/>
            <w:vMerge w:val="continue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64"/>
        </w:trPr>
        <w:tc>
          <w:tcPr>
            <w:tcW w:w="181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</w:t>
            </w:r>
          </w:p>
        </w:tc>
        <w:tc>
          <w:tcPr>
            <w:tcW w:w="4819" w:type="pct"/>
            <w:gridSpan w:val="15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Задача «Исполнение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функций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администрации Ивнянского района в соответствии с действующим законодательством»</w:t>
            </w:r>
          </w:p>
        </w:tc>
      </w:tr>
      <w:tr>
        <w:trPr>
          <w:trHeight w:val="202"/>
        </w:trPr>
        <w:tc>
          <w:tcPr>
            <w:tcW w:w="181" w:type="pct"/>
            <w:vAlign w:val="center"/>
          </w:tcPr>
          <w:p>
            <w:pPr>
              <w:spacing w:after="0" w:line="24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1.1.</w:t>
            </w:r>
          </w:p>
        </w:tc>
        <w:tc>
          <w:tcPr>
            <w:tcW w:w="2455" w:type="pct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выполненных основных мероприятий муниципальной программы от запланированных</w:t>
            </w:r>
          </w:p>
        </w:tc>
        <w:tc>
          <w:tcPr>
            <w:tcW w:w="273" w:type="pc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КМП</w:t>
            </w:r>
          </w:p>
        </w:tc>
        <w:tc>
          <w:tcPr>
            <w:tcW w:w="500" w:type="pc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%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Проц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3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-</w:t>
            </w:r>
          </w:p>
        </w:tc>
        <w:tc>
          <w:tcPr>
            <w:tcW w:w="13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2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97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3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9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92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37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222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100</w:t>
            </w:r>
          </w:p>
        </w:tc>
      </w:tr>
    </w:tbl>
    <w:p>
      <w:pPr>
        <w:pStyle w:val="ab"/>
        <w:numPr>
          <w:numId w:val="13"/>
          <w:ilvl w:val="0"/>
        </w:numPr>
        <w:spacing w:before="24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Перечень мероприятий (результатов) комплекса процессных мероприятий 3</w:t>
      </w:r>
    </w:p>
    <w:tbl>
      <w:tblPr>
        <w:tblW w:w="15593" w:type="dxa"/>
        <w:tblInd w:w="-856" w:type="dxa"/>
        <w:tblLook w:val="01E0" w:firstRow="1" w:lastRow="1" w:firstColumn="1" w:lastColumn="1" w:noHBand="0" w:noVBand="0"/>
      </w:tblPr>
      <w:tblGrid>
        <w:gridCol w:w="655"/>
        <w:gridCol w:w="4913"/>
        <w:gridCol w:w="1789"/>
        <w:gridCol w:w="1119"/>
        <w:gridCol w:w="870"/>
        <w:gridCol w:w="562"/>
        <w:gridCol w:w="564"/>
        <w:gridCol w:w="564"/>
        <w:gridCol w:w="564"/>
        <w:gridCol w:w="564"/>
        <w:gridCol w:w="536"/>
        <w:gridCol w:w="536"/>
        <w:gridCol w:w="2357"/>
      </w:tblGrid>
      <w:tr>
        <w:trPr>
          <w:trHeight w:val="184"/>
        </w:trPr>
        <w:tc>
          <w:tcPr>
            <w:tcW w:w="6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 п/п</w:t>
            </w:r>
          </w:p>
        </w:tc>
        <w:tc>
          <w:tcPr>
            <w:tcW w:w="5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Наименование мероприятия (результата)</w:t>
            </w:r>
          </w:p>
        </w:tc>
        <w:tc>
          <w:tcPr>
            <w:tcW w:w="18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Тип мероприятий (результата)</w:t>
            </w:r>
          </w:p>
        </w:tc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 (по ОКЕИ)</w:t>
            </w:r>
          </w:p>
        </w:tc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Базовое значение</w:t>
            </w:r>
          </w:p>
        </w:tc>
        <w:tc>
          <w:tcPr>
            <w:tcW w:w="307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Значения мероприятия (результата) по годам</w:t>
            </w:r>
          </w:p>
        </w:tc>
        <w:tc>
          <w:tcPr>
            <w:tcW w:w="240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Связь с показателями комплекса процессных мероприятий</w:t>
            </w:r>
          </w:p>
        </w:tc>
      </w:tr>
      <w:tr>
        <w:trPr>
          <w:trHeight w:val="130"/>
        </w:trPr>
        <w:tc>
          <w:tcPr>
            <w:tcW w:w="66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07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81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значение</w:t>
            </w:r>
          </w:p>
        </w:tc>
        <w:tc>
          <w:tcPr>
            <w:tcW w:w="563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год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240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>
        <w:trPr>
          <w:trHeight w:val="147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5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10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11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12</w:t>
            </w:r>
          </w:p>
        </w:tc>
        <w:tc>
          <w:tcPr>
            <w:tcW w:w="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13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14</w:t>
            </w:r>
          </w:p>
        </w:tc>
      </w:tr>
      <w:tr>
        <w:trPr>
          <w:trHeight w:val="197"/>
        </w:trPr>
        <w:tc>
          <w:tcPr>
            <w:tcW w:w="1559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Задача «И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сполнение муниципальных функций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администрации Ивнянского района в соответствии с действующим законодательством</w:t>
            </w:r>
          </w:p>
        </w:tc>
      </w:tr>
      <w:tr>
        <w:trPr>
          <w:trHeight w:val="198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</w:t>
            </w:r>
          </w:p>
        </w:tc>
        <w:tc>
          <w:tcPr>
            <w:tcW w:w="5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деятельность и функционирование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администрации Ивнянского района</w:t>
            </w:r>
          </w:p>
        </w:tc>
        <w:tc>
          <w:tcPr>
            <w:tcW w:w="1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Осуществление текущей деятельности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ставка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,8</w:t>
            </w:r>
          </w:p>
        </w:tc>
        <w:tc>
          <w:tcPr>
            <w:tcW w:w="5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2023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,8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,8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,8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,8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,8</w:t>
            </w:r>
          </w:p>
        </w:tc>
        <w:tc>
          <w:tcPr>
            <w:tcW w:w="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,8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</w:tr>
      <w:tr>
        <w:trPr>
          <w:trHeight w:val="198"/>
        </w:trPr>
        <w:tc>
          <w:tcPr>
            <w:tcW w:w="1559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Осуществление материального обеспечения деятельности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администрации Ивнянского района, включая фонд оплаты труда, оплату услуг связи, информационные услуги, осуществление закупок ГСМ, канцелярских принадлежностей и иных закупок, а также уплату налогов.</w:t>
            </w:r>
          </w:p>
        </w:tc>
      </w:tr>
    </w:tbl>
    <w:p>
      <w:pPr>
        <w:pStyle w:val="ab"/>
        <w:numPr>
          <w:numId w:val="13"/>
          <w:ilvl w:val="0"/>
        </w:numPr>
        <w:spacing w:before="24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Финансовое обеспечение комплекса процессных мероприятий 3</w:t>
      </w:r>
    </w:p>
    <w:p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Таблица 1</w:t>
      </w:r>
    </w:p>
    <w:tbl>
      <w:tblPr>
        <w:tblW w:w="15593" w:type="dxa"/>
        <w:tblInd w:w="-856" w:type="dxa"/>
        <w:tblLayout w:type="fixed"/>
        <w:tblLook w:val="01E0" w:firstRow="1" w:lastRow="1" w:firstColumn="1" w:lastColumn="1" w:noHBand="0" w:noVBand="0"/>
      </w:tblPr>
      <w:tblGrid>
        <w:gridCol w:w="7719"/>
        <w:gridCol w:w="1637"/>
        <w:gridCol w:w="993"/>
        <w:gridCol w:w="850"/>
        <w:gridCol w:w="851"/>
        <w:gridCol w:w="850"/>
        <w:gridCol w:w="851"/>
        <w:gridCol w:w="850"/>
        <w:gridCol w:w="992"/>
      </w:tblGrid>
      <w:tr>
        <w:trPr>
          <w:trHeight w:val="255"/>
          <w:tblHeader/>
        </w:trPr>
        <w:tc>
          <w:tcPr>
            <w:tcW w:w="77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Наименование мероприятия (результата) /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источник финансового обеспечения</w:t>
            </w:r>
          </w:p>
        </w:tc>
        <w:tc>
          <w:tcPr>
            <w:tcW w:w="1637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2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Объем финансового обеспечения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по годам реализации, тыс. рублей</w:t>
            </w:r>
          </w:p>
        </w:tc>
      </w:tr>
      <w:tr>
        <w:trPr>
          <w:trHeight w:val="106"/>
          <w:tblHeader/>
        </w:trPr>
        <w:tc>
          <w:tcPr>
            <w:tcW w:w="77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637" w:type="dxa"/>
            <w:vMerge w:val="continue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2028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2029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2030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Всего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5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6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7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8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9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«Обеспечение деятельности МКУ «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» Ивнянского района»</w:t>
            </w:r>
            <w:r>
              <w:rPr>
                <w:rFonts w:ascii="Times New Roman" w:hAnsi="Times New Roman"/>
                <w:i/>
                <w:sz w:val="16"/>
                <w:szCs w:val="16"/>
              </w:rPr>
              <w:t xml:space="preserve"> (всего), в том числе:</w:t>
            </w:r>
          </w:p>
        </w:tc>
        <w:tc>
          <w:tcPr>
            <w:tcW w:w="1637" w:type="dxa"/>
            <w:vMerge w:val="restart"/>
            <w:tcBorders>
              <w:top w:val="single" w:color="000000" w:sz="4" w:space="0"/>
              <w:lef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05 4 0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3127,0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4624,0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4808,9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5001,3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5201,4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5409,4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63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3127,0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4624,0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4808,9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5001,3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5201,4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5409,4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63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63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637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3127,0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4624,0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4808,9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5001,3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5201,4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5409,4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119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637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233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Обеспечена деятельность и функционирование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администрации Ивнянского района</w:t>
            </w:r>
          </w:p>
        </w:tc>
        <w:tc>
          <w:tcPr>
            <w:tcW w:w="16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891 07 07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05 4 0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4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ХХХХХ ХХХ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3127,0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4624,0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4808,9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5001,3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5201,4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5409,4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280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Местный бюджет (всего), из них:</w:t>
            </w:r>
          </w:p>
        </w:tc>
        <w:tc>
          <w:tcPr>
            <w:tcW w:w="1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3127,0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4624,0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4808,9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5001,3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5201,4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5409,4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127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федерального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27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межбюджетные трансферты из областного бюджета 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справочно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</w:t>
            </w:r>
          </w:p>
        </w:tc>
        <w:tc>
          <w:tcPr>
            <w:tcW w:w="1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27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местный бюджет</w:t>
            </w:r>
          </w:p>
        </w:tc>
        <w:tc>
          <w:tcPr>
            <w:tcW w:w="1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3127,0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4624,0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4808,9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5001,3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5201,4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5409,4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28172,0</w:t>
            </w:r>
          </w:p>
        </w:tc>
      </w:tr>
      <w:tr>
        <w:trPr>
          <w:trHeight w:val="127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Внебюджетные источники</w:t>
            </w:r>
          </w:p>
        </w:tc>
        <w:tc>
          <w:tcPr>
            <w:tcW w:w="16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  <w:tr>
        <w:trPr>
          <w:trHeight w:val="127"/>
        </w:trPr>
        <w:tc>
          <w:tcPr>
            <w:tcW w:w="77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Нераспределенный резерв (местный бюджет)</w:t>
            </w:r>
          </w:p>
        </w:tc>
        <w:tc>
          <w:tcPr>
            <w:tcW w:w="16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0</w:t>
            </w:r>
          </w:p>
        </w:tc>
      </w:tr>
    </w:tbl>
    <w:p>
      <w:pPr>
        <w:spacing w:before="240" w:after="12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 w:clear="all"/>
      </w:r>
    </w:p>
    <w:tbl>
      <w:tblPr>
        <w:tblStyle w:val="aa"/>
        <w:tblW w:w="0" w:type="auto"/>
        <w:tblInd w:w="109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91"/>
      </w:tblGrid>
      <w:tr>
        <w:tc>
          <w:tcPr>
            <w:tcW w:w="4784" w:type="dxa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Приложение</w:t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к паспорту к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омплекса процессных мероприятий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«Обеспечение деятельности МКУ «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УМПТиС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» Ивнянского района»</w:t>
            </w:r>
          </w:p>
        </w:tc>
      </w:tr>
    </w:tbl>
    <w:p>
      <w:pPr>
        <w:spacing w:before="240" w:after="120" w:line="240" w:lineRule="auto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План реализации комплекса процессных мероприятий </w:t>
      </w:r>
      <w:r>
        <w:rPr>
          <w:rFonts w:ascii="Times New Roman" w:hAnsi="Times New Roman"/>
          <w:b/>
          <w:sz w:val="26"/>
          <w:szCs w:val="26"/>
        </w:rPr>
        <w:t xml:space="preserve">3</w:t>
      </w: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593" w:type="dxa"/>
        <w:tblInd w:w="-856" w:type="dxa"/>
        <w:tblLook w:val="01E0" w:firstRow="1" w:lastRow="1" w:firstColumn="1" w:lastColumn="1" w:noHBand="0" w:noVBand="0"/>
      </w:tblPr>
      <w:tblGrid>
        <w:gridCol w:w="10472"/>
        <w:gridCol w:w="1167"/>
        <w:gridCol w:w="2401"/>
        <w:gridCol w:w="1553"/>
      </w:tblGrid>
      <w:tr>
        <w:trPr>
          <w:trHeight w:val="646"/>
          <w:tblHeader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Задача, мероприятие (результат) /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контрольная точка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Дата наступления контрольной точки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Ответственный исполнитель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(Ф.И.О., должность, наименование ОИВ субъекта Российской Федерации (местной администрации муниципального образования), иного государственного (муниципального) органа, организации)</w:t>
            </w:r>
            <w:r>
              <w:rPr>
                <w:rStyle w:val="a9"/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Вид подтверждающего документа</w:t>
            </w: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1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2</w:t>
            </w:r>
          </w:p>
        </w:tc>
        <w:tc>
          <w:tcPr>
            <w:tcW w:w="2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3</w:t>
            </w:r>
          </w:p>
        </w:tc>
        <w:tc>
          <w:tcPr>
            <w:tcW w:w="1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4</w:t>
            </w:r>
          </w:p>
        </w:tc>
      </w:tr>
      <w:tr>
        <w:trPr>
          <w:trHeight w:val="119"/>
        </w:trPr>
        <w:tc>
          <w:tcPr>
            <w:tcW w:w="155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Задача «Исполнение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муниципальных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функций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администрации Ивнянского района в соответствии с действующим законодательством»</w:t>
            </w:r>
          </w:p>
        </w:tc>
      </w:tr>
      <w:tr>
        <w:trPr>
          <w:trHeight w:val="119"/>
        </w:trPr>
        <w:tc>
          <w:tcPr>
            <w:tcW w:w="155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Обеспечена деятельность и функционирование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администрации Ивнянского района в 2025 году реализации</w:t>
            </w:r>
          </w:p>
        </w:tc>
      </w:tr>
      <w:tr>
        <w:trPr>
          <w:trHeight w:val="378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trike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1.1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заработная плата по категориям работников, не попадающим под повышение по указам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Презедента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РФ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31.12.2025</w:t>
            </w:r>
          </w:p>
        </w:tc>
        <w:tc>
          <w:tcPr>
            <w:tcW w:w="24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», директор Быкова Е.Ю.</w:t>
            </w:r>
          </w:p>
        </w:tc>
        <w:tc>
          <w:tcPr>
            <w:tcW w:w="1553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Квартальные, полугодовые и годовые отч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ты</w:t>
            </w: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1.2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обеспечено начисление на выплаты по оплате труда категориям работников, не попадающим под повышение по указам Президента РФ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31.12.2025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обеспечены выплаты на транспортные услуги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31.12.2025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1.4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оплата текущего ремонта оборудования и инвентаря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31.12.2025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1.5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оплата текущего ремонта зданий и сооружений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31.12.2025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обеспечена оплата прочих расходов, услуг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31.12.2025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1.7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выплата пособий за первые три дня временной нетрудоспособности «не указанных» категорий работников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31.12.2025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1.8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оплата на приобретение оборудования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31.12.2025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Обеспечена деятельность и функционирование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администрации Ивнянского района в 2026 году реализации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1.9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заработная плата по категориям работников, не попадающим под повышение по указам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Презедента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РФ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1.10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обеспечено начисление на выплаты по оплате труда категориям работников, не попадающим под повышение по указам Президента РФ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1.11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обеспечены выплаты на транспортные услуги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1.12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оплата текущего ремонта оборудования и инвентаря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1.13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оплата текущего ремонта зданий и сооружений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1.14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оплата прочих расходов, услуг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1.15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выплата пособий за первые три дня временной нетрудоспособности «не указанных» категорий работников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1.16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оплата на приобретение оборудования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6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Мероприятие (результат) Обеспечена деятельность и функционирование МКУ «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УМПТиС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» администрации Ивнянского района в 2027 году реализации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1.17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заработная плата по категориям работников, не попадающим под повышение по указам Президента РФ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1.18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обеспечено начисление на выплаты по оплате труда категориям работников, не попадающим под повышение по указам Президента РФ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1.19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обеспечены выплаты на транспортные услуги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1.20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оплата текущего ремонта оборудования и инвентаря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1.21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оплата текущего ремонта зданий и сооружений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1.22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оплата прочих расходов, услуг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1.23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обеспечена выплата пособий за первые три дня временной нетрудоспособности «не указанных» категорий работников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>
        <w:trPr>
          <w:trHeight w:val="119"/>
        </w:trPr>
        <w:tc>
          <w:tcPr>
            <w:tcW w:w="10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/>
                <w:sz w:val="16"/>
                <w:szCs w:val="16"/>
              </w:rPr>
              <w:t xml:space="preserve">Контрольная точка 1.24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оплата на приобретение оборудования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31.12.202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7</w:t>
            </w:r>
          </w:p>
        </w:tc>
        <w:tc>
          <w:tcPr>
            <w:tcW w:w="2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>
      <w:pPr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br w:type="page" w:clear="all"/>
      </w: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3"/>
        <w:tblW w:w="0" w:type="auto"/>
        <w:tblInd w:w="9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854"/>
      </w:tblGrid>
      <w:tr>
        <w:tc>
          <w:tcPr>
            <w:tcW w:w="5039" w:type="dxa"/>
          </w:tcPr>
          <w:p>
            <w:pPr>
              <w:jc w:val="center"/>
              <w:rPr>
                <w:rFonts w:eastAsia="Calibri"/>
                <w:b/>
                <w:bCs/>
                <w:color w:val="000000"/>
                <w:sz w:val="25"/>
                <w:szCs w:val="25"/>
                <w:lang w:val="ru-RU"/>
              </w:rPr>
            </w:pPr>
            <w:r>
              <w:rPr>
                <w:rFonts w:eastAsia="Calibri"/>
                <w:b/>
                <w:bCs/>
                <w:color w:val="000000"/>
                <w:sz w:val="25"/>
                <w:szCs w:val="25"/>
                <w:lang w:val="ru-RU"/>
              </w:rPr>
              <w:t xml:space="preserve">Приложение</w:t>
            </w:r>
            <w:r>
              <w:rPr>
                <w:rFonts w:eastAsia="Calibri"/>
                <w:b/>
                <w:bCs/>
                <w:color w:val="000000"/>
                <w:sz w:val="25"/>
                <w:szCs w:val="25"/>
                <w:lang w:val="ru-RU"/>
              </w:rPr>
              <w:t xml:space="preserve"> № 1</w:t>
            </w:r>
          </w:p>
          <w:p>
            <w:pPr>
              <w:jc w:val="center"/>
              <w:rPr>
                <w:rFonts w:eastAsia="Calibri"/>
                <w:color w:val="000000"/>
                <w:sz w:val="20"/>
                <w:szCs w:val="20"/>
                <w:lang w:val="ru-RU"/>
              </w:rPr>
            </w:pPr>
            <w:r>
              <w:rPr>
                <w:rFonts w:eastAsia="Calibri"/>
                <w:b/>
                <w:bCs/>
                <w:color w:val="000000"/>
                <w:sz w:val="25"/>
                <w:szCs w:val="25"/>
                <w:lang w:val="ru-RU"/>
              </w:rPr>
              <w:t xml:space="preserve">к муниципальной программе Ивнянского района «</w:t>
            </w:r>
            <w:r>
              <w:rPr>
                <w:rFonts w:eastAsia="Calibri"/>
                <w:b/>
                <w:bCs/>
                <w:color w:val="000000"/>
                <w:sz w:val="25"/>
                <w:szCs w:val="25"/>
                <w:lang w:val="ru-RU"/>
              </w:rPr>
              <w:t xml:space="preserve">Развитие молод</w:t>
            </w:r>
            <w:r>
              <w:rPr>
                <w:rFonts w:eastAsia="Calibri"/>
                <w:b/>
                <w:bCs/>
                <w:color w:val="000000"/>
                <w:sz w:val="25"/>
                <w:szCs w:val="25"/>
                <w:lang w:val="ru-RU"/>
              </w:rPr>
              <w:t xml:space="preserve">е</w:t>
            </w:r>
            <w:r>
              <w:rPr>
                <w:rFonts w:eastAsia="Calibri"/>
                <w:b/>
                <w:bCs/>
                <w:color w:val="000000"/>
                <w:sz w:val="25"/>
                <w:szCs w:val="25"/>
                <w:lang w:val="ru-RU"/>
              </w:rPr>
              <w:t xml:space="preserve">жной политики на территории Ивнянского района</w:t>
            </w:r>
            <w:r>
              <w:rPr>
                <w:rFonts w:eastAsia="Calibri"/>
                <w:b/>
                <w:bCs/>
                <w:color w:val="000000"/>
                <w:sz w:val="25"/>
                <w:szCs w:val="25"/>
                <w:lang w:val="ru-RU"/>
              </w:rPr>
              <w:t xml:space="preserve">»</w:t>
            </w:r>
          </w:p>
        </w:tc>
      </w:tr>
    </w:tbl>
    <w:p>
      <w:pPr>
        <w:shd w:val="clear" w:color="auto" w:fill="ffffff"/>
        <w:spacing w:after="0" w:line="240" w:lineRule="auto"/>
        <w:rPr>
          <w:rFonts w:ascii="Times New Roman" w:hAnsi="Times New Roman" w:eastAsia="Calibri"/>
          <w:color w:val="000000"/>
          <w:sz w:val="16"/>
          <w:szCs w:val="16"/>
          <w:lang w:eastAsia="zh-CN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Сведения о</w:t>
      </w:r>
      <w:r>
        <w:rPr>
          <w:rFonts w:ascii="Times New Roman" w:hAnsi="Times New Roman"/>
          <w:b/>
          <w:sz w:val="26"/>
          <w:szCs w:val="26"/>
        </w:rPr>
        <w:t xml:space="preserve"> порядке сбора и</w:t>
      </w:r>
      <w:r>
        <w:rPr>
          <w:rFonts w:ascii="Times New Roman" w:hAnsi="Times New Roman"/>
          <w:b/>
          <w:sz w:val="26"/>
          <w:szCs w:val="26"/>
        </w:rPr>
        <w:t xml:space="preserve"> методике расч</w:t>
      </w:r>
      <w:r>
        <w:rPr>
          <w:rFonts w:ascii="Times New Roman" w:hAnsi="Times New Roman"/>
          <w:b/>
          <w:sz w:val="26"/>
          <w:szCs w:val="26"/>
        </w:rPr>
        <w:t xml:space="preserve">е</w:t>
      </w:r>
      <w:r>
        <w:rPr>
          <w:rFonts w:ascii="Times New Roman" w:hAnsi="Times New Roman"/>
          <w:b/>
          <w:sz w:val="26"/>
          <w:szCs w:val="26"/>
        </w:rPr>
        <w:t xml:space="preserve">та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показател</w:t>
      </w:r>
      <w:r>
        <w:rPr>
          <w:rFonts w:ascii="Times New Roman" w:hAnsi="Times New Roman"/>
          <w:b/>
          <w:sz w:val="26"/>
          <w:szCs w:val="26"/>
        </w:rPr>
        <w:t xml:space="preserve">я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муниципальной программы</w:t>
      </w:r>
      <w:r>
        <w:rPr>
          <w:rFonts w:ascii="Times New Roman" w:hAnsi="Times New Roman"/>
          <w:b/>
          <w:sz w:val="26"/>
          <w:szCs w:val="26"/>
        </w:rPr>
        <w:t xml:space="preserve"> «Развитие молодежной политики на территории Ивнянского района»</w:t>
      </w:r>
    </w:p>
    <w:p>
      <w:pPr>
        <w:spacing w:after="0" w:line="240" w:lineRule="auto"/>
        <w:jc w:val="center"/>
        <w:rPr>
          <w:sz w:val="28"/>
          <w:szCs w:val="23"/>
        </w:rPr>
      </w:pPr>
    </w:p>
    <w:tbl>
      <w:tblPr>
        <w:tblW w:w="15593" w:type="dxa"/>
        <w:tblInd w:w="-8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"/>
        <w:gridCol w:w="2091"/>
        <w:gridCol w:w="993"/>
        <w:gridCol w:w="992"/>
        <w:gridCol w:w="1417"/>
        <w:gridCol w:w="1560"/>
        <w:gridCol w:w="2976"/>
        <w:gridCol w:w="1134"/>
        <w:gridCol w:w="1276"/>
        <w:gridCol w:w="877"/>
        <w:gridCol w:w="941"/>
        <w:gridCol w:w="1164"/>
      </w:tblGrid>
      <w:tr>
        <w:trPr>
          <w:tblHeader/>
        </w:trPr>
        <w:tc>
          <w:tcPr>
            <w:tcW w:w="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№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Наименование показателя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Единица измерения (по ОКЕИ)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Определение показателя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Временные характеристики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Алгоритм формирования (формула)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  <w:t xml:space="preserve">и методологические пояснения 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  <w:t xml:space="preserve">к показателю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Базовые показатели (используемые в формуле)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Метод сбора информации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Пункт Федерального плана статистических работ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Ответственный за сбор данных по показателю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Реквизиты акта при наличии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Временные характеристики показателя</w:t>
            </w:r>
          </w:p>
        </w:tc>
      </w:tr>
      <w:tr>
        <w:tc>
          <w:tcPr>
            <w:tcW w:w="1559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Муниципальная программа «Развитие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жной политики, физической культуры и спорта в Ивнянском районе»</w:t>
            </w:r>
          </w:p>
        </w:tc>
      </w:tr>
      <w:tr>
        <w:tc>
          <w:tcPr>
            <w:tcW w:w="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1.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молодых людей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в возрасте от 14 до 35 лет,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охваченных мероприятиями молоде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жной политики, по отношению к общему количеству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 района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 (%)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Полугодие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Чм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Чобщая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* 100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– численность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 в возрасте 14 – 35 лет, участвующих в мероприятиях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жной политики района;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Чобщая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– численность постоянного населения района в возрасте 14 - 35 лет.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бухгалтерская отч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тность,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социологический опрос,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прочие (статистическая отче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тность).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 июля года, следующего за отчетным</w:t>
            </w:r>
          </w:p>
        </w:tc>
      </w:tr>
      <w:tr>
        <w:tc>
          <w:tcPr>
            <w:tcW w:w="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2.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молодежи, вовлеченной в проектную деятельность в различных сферах деятельности, к общему числу молодежи района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 (%)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Полугодие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Кмоп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Чобщая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)*100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Кмоп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– количество молодежи в возрасте 14-35 лет, вовлеченной в проектную деятельность в различных сферах деятельности;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Чобщая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– численность постоянного населения района в возрасте 14-35 лет.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Административная информация, прочие (статистическая отчетности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 июля года, следующего за отчетным</w:t>
            </w:r>
          </w:p>
        </w:tc>
      </w:tr>
      <w:tr>
        <w:tc>
          <w:tcPr>
            <w:tcW w:w="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молодых граждан, участвующих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в мероприятиях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 патриотическому воспитанию, 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t xml:space="preserve">по отнош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ению 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 xml:space="preserve">к общему количеству молоде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 района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 (%)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Полугодие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(Пм /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Чобщая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* 100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Пм – численность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 в возрасте 14 - 35 лет, участвующих в мероприятиях по патриотическому воспитанию;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Чобщая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– численность постоянного населения района в возрасте 14 - 35 лет.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бухгалтерская отч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тность,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социологический опрос,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прочие (статистическая отч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тность).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 июля года, следующего за отчетным</w:t>
            </w:r>
          </w:p>
        </w:tc>
      </w:tr>
      <w:tr>
        <w:tc>
          <w:tcPr>
            <w:tcW w:w="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</w:t>
            </w:r>
          </w:p>
        </w:tc>
        <w:tc>
          <w:tcPr>
            <w:tcW w:w="20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Доля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жи, вовлеченной 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 xml:space="preserve">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волонт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рскую (добровольческую) деятельность от общего числа количества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 района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Процент (%)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Полугодие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Дм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/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Чобщая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) * 100</w:t>
            </w:r>
          </w:p>
        </w:tc>
        <w:tc>
          <w:tcPr>
            <w:tcW w:w="2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– численность молод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жи в возрасте 14 -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30 лет, вовлеченной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в волонт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рскую (добровольческую) деятельность;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Чобщая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– численность постоянного населения района в возрасте 14 - 35 лет.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бухгалтерская отч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тность,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социологический опрос,</w:t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прочие (статистическая отч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тность).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 1 июля года, следующего за отчетным</w:t>
            </w:r>
          </w:p>
        </w:tc>
      </w:tr>
    </w:tbl>
    <w:p>
      <w:pPr>
        <w:rPr>
          <w:rFonts w:ascii="Times New Roman" w:hAnsi="Times New Roman"/>
          <w:color w:val="ff0000"/>
          <w:sz w:val="28"/>
          <w:szCs w:val="28"/>
        </w:rPr>
      </w:pPr>
    </w:p>
    <w:p>
      <w:pPr>
        <w:tabs>
          <w:tab w:val="left" w:pos="1948"/>
        </w:tabs>
        <w:rPr>
          <w:rFonts w:ascii="Times New Roman" w:hAnsi="Times New Roman"/>
          <w:color w:val="ff0000"/>
          <w:sz w:val="28"/>
          <w:szCs w:val="28"/>
        </w:rPr>
        <w:sectPr>
          <w:pgSz w:w="16838" w:h="11906" w:orient="landscape"/>
          <w:pgMar w:top="567" w:right="536" w:bottom="567" w:left="1701" w:header="283" w:footer="0" w:gutter="0"/>
          <w:cols w:space="720"/>
          <w:docGrid w:linePitch="360"/>
          <w:titlePg/>
        </w:sectPr>
      </w:pPr>
      <w:r>
        <w:rPr>
          <w:rFonts w:ascii="Times New Roman" w:hAnsi="Times New Roman"/>
          <w:color w:val="ff0000"/>
          <w:sz w:val="28"/>
          <w:szCs w:val="28"/>
        </w:rPr>
        <w:tab/>
      </w:r>
    </w:p>
    <w:p>
      <w:pPr>
        <w:spacing w:after="0" w:line="240" w:lineRule="auto"/>
        <w:ind w:left="5670" w:right="74"/>
        <w:jc w:val="center"/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/>
          <w:bCs/>
          <w:sz w:val="25"/>
          <w:szCs w:val="25"/>
        </w:rPr>
        <w:t xml:space="preserve">Приложение</w:t>
      </w:r>
      <w:r>
        <w:rPr>
          <w:rFonts w:ascii="Times New Roman" w:hAnsi="Times New Roman" w:eastAsia="Times New Roman"/>
          <w:b/>
          <w:bCs/>
          <w:spacing w:val="28"/>
          <w:sz w:val="25"/>
          <w:szCs w:val="25"/>
        </w:rPr>
        <w:t xml:space="preserve"> </w:t>
      </w:r>
      <w:r>
        <w:rPr>
          <w:rFonts w:ascii="Times New Roman" w:hAnsi="Times New Roman" w:eastAsia="Times New Roman"/>
          <w:b/>
          <w:bCs/>
          <w:sz w:val="25"/>
          <w:szCs w:val="25"/>
        </w:rPr>
        <w:t xml:space="preserve">№</w:t>
      </w:r>
      <w:r>
        <w:rPr>
          <w:rFonts w:ascii="Times New Roman" w:hAnsi="Times New Roman" w:eastAsia="Times New Roman"/>
          <w:b/>
          <w:bCs/>
          <w:spacing w:val="12"/>
          <w:sz w:val="25"/>
          <w:szCs w:val="25"/>
        </w:rPr>
        <w:t xml:space="preserve"> </w:t>
      </w:r>
      <w:r>
        <w:rPr>
          <w:rFonts w:ascii="Times New Roman" w:hAnsi="Times New Roman" w:eastAsia="Times New Roman"/>
          <w:b/>
          <w:bCs/>
          <w:sz w:val="25"/>
          <w:szCs w:val="25"/>
        </w:rPr>
        <w:t xml:space="preserve">2</w:t>
      </w:r>
    </w:p>
    <w:p>
      <w:pPr>
        <w:spacing w:before="11" w:after="0" w:line="240" w:lineRule="auto"/>
        <w:ind w:left="5670" w:right="74"/>
        <w:jc w:val="center"/>
        <w:rPr>
          <w:rFonts w:ascii="Times New Roman" w:hAnsi="Times New Roman"/>
          <w:b/>
          <w:spacing w:val="14"/>
          <w:sz w:val="25"/>
        </w:rPr>
      </w:pPr>
      <w:r>
        <w:rPr>
          <w:rFonts w:ascii="Times New Roman" w:hAnsi="Times New Roman"/>
          <w:b/>
          <w:sz w:val="25"/>
        </w:rPr>
        <w:t xml:space="preserve">к</w:t>
      </w:r>
      <w:r>
        <w:rPr>
          <w:rFonts w:ascii="Times New Roman" w:hAnsi="Times New Roman"/>
          <w:b/>
          <w:spacing w:val="4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муниципальной</w:t>
      </w:r>
      <w:r>
        <w:rPr>
          <w:rFonts w:ascii="Times New Roman" w:hAnsi="Times New Roman"/>
          <w:b/>
          <w:spacing w:val="51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программе</w:t>
      </w:r>
      <w:r>
        <w:rPr>
          <w:rFonts w:ascii="Times New Roman" w:hAnsi="Times New Roman"/>
          <w:b/>
          <w:w w:val="101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Ивнянского района</w:t>
      </w:r>
      <w:r>
        <w:rPr>
          <w:rFonts w:ascii="Times New Roman" w:hAnsi="Times New Roman"/>
          <w:b/>
          <w:spacing w:val="14"/>
          <w:sz w:val="25"/>
        </w:rPr>
        <w:t xml:space="preserve"> </w:t>
      </w:r>
    </w:p>
    <w:p>
      <w:pPr>
        <w:spacing w:before="11" w:after="0" w:line="240" w:lineRule="auto"/>
        <w:ind w:left="5670" w:right="74"/>
        <w:jc w:val="center"/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/>
          <w:b/>
          <w:sz w:val="25"/>
        </w:rPr>
        <w:t xml:space="preserve">«</w:t>
      </w:r>
      <w:r>
        <w:rPr>
          <w:rFonts w:ascii="Times New Roman" w:hAnsi="Times New Roman"/>
          <w:b/>
          <w:sz w:val="25"/>
        </w:rPr>
        <w:t xml:space="preserve">Развитие молод</w:t>
      </w:r>
      <w:r>
        <w:rPr>
          <w:rFonts w:ascii="Times New Roman" w:hAnsi="Times New Roman"/>
          <w:b/>
          <w:sz w:val="25"/>
        </w:rPr>
        <w:t xml:space="preserve">е</w:t>
      </w:r>
      <w:r>
        <w:rPr>
          <w:rFonts w:ascii="Times New Roman" w:hAnsi="Times New Roman"/>
          <w:b/>
          <w:sz w:val="25"/>
        </w:rPr>
        <w:t xml:space="preserve">жной политики на территории Ивнянского района</w:t>
      </w:r>
      <w:r>
        <w:rPr>
          <w:rFonts w:ascii="Times New Roman" w:hAnsi="Times New Roman"/>
          <w:b/>
          <w:sz w:val="25"/>
        </w:rPr>
        <w:t xml:space="preserve">»</w:t>
      </w:r>
    </w:p>
    <w:p>
      <w:pPr>
        <w:rPr>
          <w:rFonts w:ascii="Times New Roman" w:hAnsi="Times New Roman" w:eastAsia="Times New Roman"/>
          <w:b/>
          <w:bCs/>
          <w:sz w:val="24"/>
          <w:szCs w:val="24"/>
        </w:rPr>
      </w:pPr>
    </w:p>
    <w:p>
      <w:pPr>
        <w:spacing w:after="0"/>
        <w:ind w:right="74"/>
        <w:jc w:val="center"/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/>
          <w:b/>
          <w:sz w:val="25"/>
        </w:rPr>
        <w:t xml:space="preserve">Порядок</w:t>
      </w:r>
    </w:p>
    <w:p>
      <w:pPr>
        <w:spacing w:after="0" w:line="240" w:lineRule="auto"/>
        <w:ind w:right="74"/>
        <w:jc w:val="center"/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/>
          <w:b/>
          <w:sz w:val="25"/>
        </w:rPr>
        <w:t xml:space="preserve">предоставления</w:t>
      </w:r>
      <w:r>
        <w:rPr>
          <w:rFonts w:ascii="Times New Roman" w:hAnsi="Times New Roman"/>
          <w:b/>
          <w:spacing w:val="45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и расходования</w:t>
      </w:r>
      <w:r>
        <w:rPr>
          <w:rFonts w:ascii="Times New Roman" w:hAnsi="Times New Roman"/>
          <w:b/>
          <w:spacing w:val="33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субсидий</w:t>
      </w:r>
      <w:r>
        <w:rPr>
          <w:rFonts w:ascii="Times New Roman" w:hAnsi="Times New Roman"/>
          <w:b/>
          <w:spacing w:val="24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на</w:t>
      </w:r>
      <w:r>
        <w:rPr>
          <w:rFonts w:ascii="Times New Roman" w:hAnsi="Times New Roman"/>
          <w:b/>
          <w:spacing w:val="14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проведение мероприятий</w:t>
      </w:r>
      <w:r>
        <w:rPr>
          <w:rFonts w:ascii="Times New Roman" w:hAnsi="Times New Roman"/>
          <w:b/>
          <w:spacing w:val="39"/>
          <w:sz w:val="25"/>
        </w:rPr>
        <w:t xml:space="preserve"> </w:t>
      </w:r>
      <w:r>
        <w:rPr>
          <w:rFonts w:ascii="Times New Roman" w:hAnsi="Times New Roman"/>
          <w:b/>
          <w:spacing w:val="39"/>
          <w:sz w:val="25"/>
        </w:rPr>
        <w:br/>
      </w:r>
      <w:r>
        <w:rPr>
          <w:rFonts w:ascii="Times New Roman" w:hAnsi="Times New Roman"/>
          <w:b/>
          <w:sz w:val="25"/>
        </w:rPr>
        <w:t xml:space="preserve">по</w:t>
      </w:r>
      <w:r>
        <w:rPr>
          <w:rFonts w:ascii="Times New Roman" w:hAnsi="Times New Roman"/>
          <w:b/>
          <w:spacing w:val="11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обеспечению</w:t>
      </w:r>
      <w:r>
        <w:rPr>
          <w:rFonts w:ascii="Times New Roman" w:hAnsi="Times New Roman"/>
          <w:b/>
          <w:spacing w:val="21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деятельности</w:t>
      </w:r>
      <w:r>
        <w:rPr>
          <w:rFonts w:ascii="Times New Roman" w:hAnsi="Times New Roman"/>
          <w:b/>
          <w:spacing w:val="48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советников</w:t>
      </w:r>
      <w:r>
        <w:rPr>
          <w:rFonts w:ascii="Times New Roman" w:hAnsi="Times New Roman"/>
          <w:b/>
          <w:spacing w:val="22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директора по</w:t>
      </w:r>
      <w:r>
        <w:rPr>
          <w:rFonts w:ascii="Times New Roman" w:hAnsi="Times New Roman"/>
          <w:b/>
          <w:spacing w:val="9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воспитанию</w:t>
      </w:r>
      <w:r>
        <w:rPr>
          <w:rFonts w:ascii="Times New Roman" w:hAnsi="Times New Roman"/>
          <w:b/>
          <w:spacing w:val="31"/>
          <w:sz w:val="25"/>
        </w:rPr>
        <w:t xml:space="preserve"> </w:t>
      </w:r>
      <w:r>
        <w:rPr>
          <w:rFonts w:ascii="Times New Roman" w:hAnsi="Times New Roman"/>
          <w:b/>
          <w:spacing w:val="31"/>
          <w:sz w:val="25"/>
        </w:rPr>
        <w:br/>
      </w:r>
      <w:r>
        <w:rPr>
          <w:rFonts w:ascii="Times New Roman" w:hAnsi="Times New Roman"/>
          <w:b/>
          <w:sz w:val="25"/>
        </w:rPr>
        <w:t xml:space="preserve">и</w:t>
      </w:r>
      <w:r>
        <w:rPr>
          <w:rFonts w:ascii="Times New Roman" w:hAnsi="Times New Roman"/>
          <w:b/>
          <w:spacing w:val="8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взаимодействию</w:t>
      </w:r>
      <w:r>
        <w:rPr>
          <w:rFonts w:ascii="Times New Roman" w:hAnsi="Times New Roman"/>
          <w:b/>
          <w:spacing w:val="43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с</w:t>
      </w:r>
      <w:r>
        <w:rPr>
          <w:rFonts w:ascii="Times New Roman" w:hAnsi="Times New Roman"/>
          <w:b/>
          <w:spacing w:val="-10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детскими</w:t>
      </w:r>
      <w:r>
        <w:rPr>
          <w:rFonts w:ascii="Times New Roman" w:hAnsi="Times New Roman"/>
          <w:b/>
          <w:spacing w:val="38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общественными объединениями</w:t>
      </w:r>
      <w:r>
        <w:rPr>
          <w:rFonts w:ascii="Times New Roman" w:hAnsi="Times New Roman"/>
          <w:b/>
          <w:spacing w:val="37"/>
          <w:sz w:val="25"/>
        </w:rPr>
        <w:t xml:space="preserve"> </w:t>
      </w:r>
      <w:r>
        <w:rPr>
          <w:rFonts w:ascii="Times New Roman" w:hAnsi="Times New Roman"/>
          <w:b/>
          <w:spacing w:val="37"/>
          <w:sz w:val="25"/>
        </w:rPr>
        <w:br/>
      </w:r>
      <w:r>
        <w:rPr>
          <w:rFonts w:ascii="Times New Roman" w:hAnsi="Times New Roman"/>
          <w:b/>
          <w:sz w:val="25"/>
        </w:rPr>
        <w:t xml:space="preserve">в</w:t>
      </w:r>
      <w:r>
        <w:rPr>
          <w:rFonts w:ascii="Times New Roman" w:hAnsi="Times New Roman"/>
          <w:b/>
          <w:spacing w:val="9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общеобразовательных</w:t>
      </w:r>
      <w:r>
        <w:rPr>
          <w:rFonts w:ascii="Times New Roman" w:hAnsi="Times New Roman"/>
          <w:b/>
          <w:spacing w:val="59"/>
          <w:sz w:val="25"/>
        </w:rPr>
        <w:t xml:space="preserve"> </w:t>
      </w:r>
      <w:r>
        <w:rPr>
          <w:rFonts w:ascii="Times New Roman" w:hAnsi="Times New Roman"/>
          <w:b/>
          <w:sz w:val="25"/>
        </w:rPr>
        <w:t xml:space="preserve">организациях</w:t>
      </w:r>
    </w:p>
    <w:p>
      <w:pPr>
        <w:spacing w:before="9"/>
        <w:rPr>
          <w:rFonts w:ascii="Times New Roman" w:hAnsi="Times New Roman" w:eastAsia="Times New Roman"/>
          <w:b/>
          <w:bCs/>
          <w:sz w:val="13"/>
          <w:szCs w:val="13"/>
        </w:rPr>
      </w:pPr>
    </w:p>
    <w:p>
      <w:pPr>
        <w:spacing w:after="0" w:line="240" w:lineRule="auto"/>
        <w:ind w:right="-1" w:firstLine="851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</w:t>
      </w:r>
      <w:r>
        <w:rPr>
          <w:rFonts w:ascii="Times New Roman" w:hAnsi="Times New Roman"/>
          <w:sz w:val="26"/>
          <w:szCs w:val="26"/>
        </w:rPr>
        <w:tab/>
        <w:t xml:space="preserve">Порядок предоставления и расходования субсидий на проведение мероприятий по обеспечению деятельности советников директора </w:t>
      </w:r>
      <w:r>
        <w:rPr>
          <w:rFonts w:ascii="Times New Roman" w:hAnsi="Times New Roman" w:eastAsia="Times New Roman"/>
          <w:sz w:val="26"/>
          <w:szCs w:val="26"/>
        </w:rPr>
        <w:t xml:space="preserve">по воспитанию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br/>
      </w:r>
      <w:r>
        <w:rPr>
          <w:rFonts w:ascii="Times New Roman" w:hAnsi="Times New Roman" w:eastAsia="Times New Roman"/>
          <w:sz w:val="26"/>
          <w:szCs w:val="26"/>
        </w:rPr>
        <w:t xml:space="preserve">и взаимодействию</w:t>
      </w:r>
      <w:r>
        <w:rPr>
          <w:rFonts w:ascii="Times New Roman" w:hAnsi="Times New Roman" w:eastAsia="Times New Roman"/>
          <w:spacing w:val="60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с</w:t>
      </w:r>
      <w:r>
        <w:rPr>
          <w:rFonts w:ascii="Times New Roman" w:hAnsi="Times New Roman" w:eastAsia="Times New Roman"/>
          <w:spacing w:val="14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детскими</w:t>
      </w:r>
      <w:r>
        <w:rPr>
          <w:rFonts w:ascii="Times New Roman" w:hAnsi="Times New Roman" w:eastAsia="Times New Roman"/>
          <w:spacing w:val="38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общественными</w:t>
      </w:r>
      <w:r>
        <w:rPr>
          <w:rFonts w:ascii="Times New Roman" w:hAnsi="Times New Roman" w:eastAsia="Times New Roman"/>
          <w:spacing w:val="42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объединениями</w:t>
      </w:r>
      <w:r>
        <w:rPr>
          <w:rFonts w:ascii="Times New Roman" w:hAnsi="Times New Roman" w:eastAsia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w w:val="96"/>
          <w:sz w:val="26"/>
          <w:szCs w:val="26"/>
        </w:rPr>
        <w:br/>
      </w:r>
      <w:r>
        <w:rPr>
          <w:rFonts w:ascii="Times New Roman" w:hAnsi="Times New Roman" w:eastAsia="Times New Roman"/>
          <w:sz w:val="26"/>
          <w:szCs w:val="26"/>
        </w:rPr>
        <w:t xml:space="preserve">в</w:t>
      </w:r>
      <w:r>
        <w:rPr>
          <w:rFonts w:ascii="Times New Roman" w:hAnsi="Times New Roman" w:eastAsia="Times New Roman"/>
          <w:spacing w:val="21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общеобразовательных</w:t>
      </w:r>
      <w:r>
        <w:rPr>
          <w:rFonts w:ascii="Times New Roman" w:hAnsi="Times New Roman" w:eastAsia="Times New Roman"/>
          <w:spacing w:val="60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организациях</w:t>
      </w:r>
      <w:r>
        <w:rPr>
          <w:rFonts w:ascii="Times New Roman" w:hAnsi="Times New Roman" w:eastAsia="Times New Roman"/>
          <w:spacing w:val="34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(далее</w:t>
      </w:r>
      <w:r>
        <w:rPr>
          <w:rFonts w:ascii="Times New Roman" w:hAnsi="Times New Roman" w:eastAsia="Times New Roman"/>
          <w:spacing w:val="27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соответственно</w:t>
      </w:r>
      <w:r>
        <w:rPr>
          <w:rFonts w:ascii="Times New Roman" w:hAnsi="Times New Roman" w:eastAsia="Times New Roman"/>
          <w:spacing w:val="32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w w:val="185"/>
          <w:sz w:val="26"/>
          <w:szCs w:val="26"/>
        </w:rPr>
        <w:t xml:space="preserve">-</w:t>
      </w:r>
      <w:r>
        <w:rPr>
          <w:rFonts w:ascii="Times New Roman" w:hAnsi="Times New Roman" w:eastAsia="Times New Roman"/>
          <w:w w:val="185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Порядок,</w:t>
      </w:r>
      <w:r>
        <w:rPr>
          <w:rFonts w:ascii="Times New Roman" w:hAnsi="Times New Roman" w:eastAsia="Times New Roman"/>
          <w:spacing w:val="40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советники</w:t>
      </w:r>
      <w:r>
        <w:rPr>
          <w:rFonts w:ascii="Times New Roman" w:hAnsi="Times New Roman" w:eastAsia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по</w:t>
      </w:r>
      <w:r>
        <w:rPr>
          <w:rFonts w:ascii="Times New Roman" w:hAnsi="Times New Roman" w:eastAsia="Times New Roman"/>
          <w:spacing w:val="64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воспитанию)</w:t>
      </w:r>
      <w:r>
        <w:rPr>
          <w:rFonts w:ascii="Times New Roman" w:hAnsi="Times New Roman" w:eastAsia="Times New Roman"/>
          <w:spacing w:val="15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разработан</w:t>
      </w:r>
      <w:r>
        <w:rPr>
          <w:rFonts w:ascii="Times New Roman" w:hAnsi="Times New Roman" w:eastAsia="Times New Roman"/>
          <w:spacing w:val="24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в</w:t>
      </w:r>
      <w:r>
        <w:rPr>
          <w:rFonts w:ascii="Times New Roman" w:hAnsi="Times New Roman" w:eastAsia="Times New Roman"/>
          <w:spacing w:val="62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соответствии</w:t>
      </w:r>
      <w:r>
        <w:rPr>
          <w:rFonts w:ascii="Times New Roman" w:hAnsi="Times New Roman" w:eastAsia="Times New Roman"/>
          <w:spacing w:val="23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со</w:t>
      </w:r>
      <w:r>
        <w:rPr>
          <w:rFonts w:ascii="Times New Roman" w:hAnsi="Times New Roman" w:eastAsia="Times New Roman"/>
          <w:spacing w:val="62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статьей</w:t>
      </w:r>
      <w:r>
        <w:rPr>
          <w:rFonts w:ascii="Times New Roman" w:hAnsi="Times New Roman" w:eastAsia="Times New Roman"/>
          <w:spacing w:val="28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139</w:t>
      </w:r>
      <w:r>
        <w:rPr>
          <w:rFonts w:ascii="Times New Roman" w:hAnsi="Times New Roman" w:eastAsia="Times New Roman"/>
          <w:spacing w:val="46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Бюджетного</w:t>
      </w:r>
      <w:r>
        <w:rPr>
          <w:rFonts w:ascii="Times New Roman" w:hAnsi="Times New Roman" w:eastAsia="Times New Roman"/>
          <w:spacing w:val="23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кодекса</w:t>
      </w:r>
      <w:r>
        <w:rPr>
          <w:rFonts w:ascii="Times New Roman" w:hAnsi="Times New Roman" w:eastAsia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Российской </w:t>
      </w:r>
      <w:r>
        <w:rPr>
          <w:rFonts w:ascii="Times New Roman" w:hAnsi="Times New Roman" w:eastAsia="Times New Roman"/>
          <w:sz w:val="26"/>
          <w:szCs w:val="26"/>
        </w:rPr>
        <w:t xml:space="preserve">Федерации,</w:t>
      </w:r>
      <w:r>
        <w:rPr>
          <w:rFonts w:ascii="Times New Roman" w:hAnsi="Times New Roman" w:eastAsia="Times New Roman"/>
          <w:spacing w:val="14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постановлением</w:t>
      </w:r>
      <w:r>
        <w:rPr>
          <w:rFonts w:ascii="Times New Roman" w:hAnsi="Times New Roman" w:eastAsia="Times New Roman"/>
          <w:spacing w:val="13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Правительства</w:t>
      </w:r>
      <w:r>
        <w:rPr>
          <w:rFonts w:ascii="Times New Roman" w:hAnsi="Times New Roman" w:eastAsia="Times New Roman"/>
          <w:spacing w:val="21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Белгородской</w:t>
      </w:r>
      <w:r>
        <w:rPr>
          <w:rFonts w:ascii="Times New Roman" w:hAnsi="Times New Roman" w:eastAsia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области</w:t>
      </w:r>
      <w:r>
        <w:rPr>
          <w:rFonts w:ascii="Times New Roman" w:hAnsi="Times New Roman" w:eastAsia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w w:val="96"/>
          <w:sz w:val="26"/>
          <w:szCs w:val="26"/>
        </w:rPr>
        <w:br/>
      </w:r>
      <w:r>
        <w:rPr>
          <w:rFonts w:ascii="Times New Roman" w:hAnsi="Times New Roman" w:eastAsia="Times New Roman"/>
          <w:sz w:val="26"/>
          <w:szCs w:val="26"/>
        </w:rPr>
        <w:t xml:space="preserve">от</w:t>
      </w:r>
      <w:r>
        <w:rPr>
          <w:rFonts w:ascii="Times New Roman" w:hAnsi="Times New Roman" w:eastAsia="Times New Roman"/>
          <w:spacing w:val="47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18</w:t>
      </w:r>
      <w:r>
        <w:rPr>
          <w:rFonts w:ascii="Times New Roman" w:hAnsi="Times New Roman" w:eastAsia="Times New Roman"/>
          <w:spacing w:val="8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декабря</w:t>
      </w:r>
      <w:r>
        <w:rPr>
          <w:rFonts w:ascii="Times New Roman" w:hAnsi="Times New Roman" w:eastAsia="Times New Roman"/>
          <w:spacing w:val="48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2017</w:t>
      </w:r>
      <w:r>
        <w:rPr>
          <w:rFonts w:ascii="Times New Roman" w:hAnsi="Times New Roman" w:eastAsia="Times New Roman"/>
          <w:spacing w:val="41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года</w:t>
      </w:r>
      <w:r>
        <w:rPr>
          <w:rFonts w:ascii="Times New Roman" w:hAnsi="Times New Roman" w:eastAsia="Times New Roman"/>
          <w:spacing w:val="30"/>
          <w:sz w:val="26"/>
          <w:szCs w:val="26"/>
        </w:rPr>
        <w:t xml:space="preserve"> </w:t>
      </w:r>
      <w:r>
        <w:rPr>
          <w:rFonts w:ascii="Times New Roman" w:hAnsi="Times New Roman" w:eastAsia="Arial"/>
          <w:sz w:val="26"/>
          <w:szCs w:val="26"/>
        </w:rPr>
        <w:t xml:space="preserve">№</w:t>
      </w:r>
      <w:r>
        <w:rPr>
          <w:rFonts w:ascii="Times New Roman" w:hAnsi="Times New Roman" w:eastAsia="Arial"/>
          <w:spacing w:val="14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489-пп</w:t>
      </w:r>
      <w:r>
        <w:rPr>
          <w:rFonts w:ascii="Times New Roman" w:hAnsi="Times New Roman" w:eastAsia="Times New Roman"/>
          <w:spacing w:val="51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«Об</w:t>
      </w:r>
      <w:r>
        <w:rPr>
          <w:rFonts w:ascii="Times New Roman" w:hAnsi="Times New Roman" w:eastAsia="Times New Roman"/>
          <w:spacing w:val="32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утверждении</w:t>
      </w:r>
      <w:r>
        <w:rPr>
          <w:rFonts w:ascii="Times New Roman" w:hAnsi="Times New Roman" w:eastAsia="Times New Roman"/>
          <w:spacing w:val="52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Правил</w:t>
      </w:r>
      <w:r>
        <w:rPr>
          <w:rFonts w:ascii="Times New Roman" w:hAnsi="Times New Roman" w:eastAsia="Times New Roman"/>
          <w:spacing w:val="46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формирования,</w:t>
      </w:r>
      <w:r>
        <w:rPr>
          <w:rFonts w:ascii="Times New Roman" w:hAnsi="Times New Roman" w:eastAsia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предоставления</w:t>
      </w:r>
      <w:r>
        <w:rPr>
          <w:rFonts w:ascii="Times New Roman" w:hAnsi="Times New Roman" w:eastAsia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и</w:t>
      </w:r>
      <w:r>
        <w:rPr>
          <w:rFonts w:ascii="Times New Roman" w:hAnsi="Times New Roman" w:eastAsia="Times New Roman"/>
          <w:spacing w:val="31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распределения</w:t>
      </w:r>
      <w:r>
        <w:rPr>
          <w:rFonts w:ascii="Times New Roman" w:hAnsi="Times New Roman" w:eastAsia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субсидий</w:t>
      </w:r>
      <w:r>
        <w:rPr>
          <w:rFonts w:ascii="Times New Roman" w:hAnsi="Times New Roman" w:eastAsia="Times New Roman"/>
          <w:spacing w:val="62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из</w:t>
      </w:r>
      <w:r>
        <w:rPr>
          <w:rFonts w:ascii="Times New Roman" w:hAnsi="Times New Roman" w:eastAsia="Times New Roman"/>
          <w:spacing w:val="46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областного</w:t>
      </w:r>
      <w:r>
        <w:rPr>
          <w:rFonts w:ascii="Times New Roman" w:hAnsi="Times New Roman" w:eastAsia="Times New Roman"/>
          <w:spacing w:val="60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бюджета</w:t>
      </w:r>
      <w:r>
        <w:rPr>
          <w:rFonts w:ascii="Times New Roman" w:hAnsi="Times New Roman" w:eastAsia="Times New Roman"/>
          <w:spacing w:val="52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бюджетам</w:t>
      </w:r>
      <w:r>
        <w:rPr>
          <w:rFonts w:ascii="Times New Roman" w:hAnsi="Times New Roman" w:eastAsia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муниципальных</w:t>
      </w:r>
      <w:r>
        <w:rPr>
          <w:rFonts w:ascii="Times New Roman" w:hAnsi="Times New Roman" w:eastAsia="Times New Roman"/>
          <w:spacing w:val="-29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образований</w:t>
      </w:r>
      <w:r>
        <w:rPr>
          <w:rFonts w:ascii="Times New Roman" w:hAnsi="Times New Roman" w:eastAsia="Times New Roman"/>
          <w:spacing w:val="-31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Белгородской</w:t>
      </w:r>
      <w:r>
        <w:rPr>
          <w:rFonts w:ascii="Times New Roman" w:hAnsi="Times New Roman" w:eastAsia="Times New Roman"/>
          <w:spacing w:val="-28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области».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Порядок</w:t>
      </w:r>
      <w:r>
        <w:rPr>
          <w:rFonts w:ascii="Times New Roman" w:hAnsi="Times New Roman"/>
          <w:spacing w:val="2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определяет</w:t>
      </w:r>
      <w:r>
        <w:rPr>
          <w:rFonts w:ascii="Times New Roman" w:hAnsi="Times New Roman"/>
          <w:spacing w:val="2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правила,</w:t>
      </w:r>
      <w:r>
        <w:rPr>
          <w:rFonts w:ascii="Times New Roman" w:hAnsi="Times New Roman"/>
          <w:spacing w:val="18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условия</w:t>
      </w:r>
      <w:r>
        <w:rPr>
          <w:rFonts w:ascii="Times New Roman" w:hAnsi="Times New Roman"/>
          <w:spacing w:val="3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предоставления</w:t>
      </w:r>
      <w:r>
        <w:rPr>
          <w:rFonts w:ascii="Times New Roman" w:hAnsi="Times New Roman"/>
          <w:spacing w:val="3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расходования</w:t>
      </w:r>
      <w:r>
        <w:rPr>
          <w:rFonts w:ascii="Times New Roman" w:hAnsi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субсидий</w:t>
      </w:r>
      <w:r>
        <w:rPr>
          <w:rFonts w:ascii="Times New Roman" w:hAnsi="Times New Roman"/>
          <w:spacing w:val="62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из</w:t>
      </w:r>
      <w:r>
        <w:rPr>
          <w:rFonts w:ascii="Times New Roman" w:hAnsi="Times New Roman"/>
          <w:spacing w:val="5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федерального</w:t>
      </w:r>
      <w:r>
        <w:rPr>
          <w:rFonts w:ascii="Times New Roman" w:hAnsi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spacing w:val="5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областного</w:t>
      </w:r>
      <w:r>
        <w:rPr>
          <w:rFonts w:ascii="Times New Roman" w:hAnsi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бюджетов</w:t>
      </w:r>
      <w:r>
        <w:rPr>
          <w:rFonts w:ascii="Times New Roman" w:hAnsi="Times New Roman"/>
          <w:spacing w:val="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</w:t>
      </w:r>
      <w:r>
        <w:rPr>
          <w:rFonts w:ascii="Times New Roman" w:hAnsi="Times New Roman"/>
          <w:spacing w:val="6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обеспечение деятельности</w:t>
      </w:r>
      <w:r>
        <w:rPr>
          <w:rFonts w:ascii="Times New Roman" w:hAnsi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советников</w:t>
      </w:r>
      <w:r>
        <w:rPr>
          <w:rFonts w:ascii="Times New Roman" w:hAnsi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</w:t>
      </w:r>
      <w:r>
        <w:rPr>
          <w:rFonts w:ascii="Times New Roman" w:hAnsi="Times New Roman"/>
          <w:spacing w:val="-1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воспитанию (далее</w:t>
      </w:r>
      <w:r>
        <w:rPr>
          <w:rFonts w:ascii="Times New Roman" w:hAnsi="Times New Roman"/>
          <w:spacing w:val="-1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соответственно</w:t>
      </w:r>
      <w:r>
        <w:rPr>
          <w:rFonts w:ascii="Times New Roman" w:hAnsi="Times New Roman"/>
          <w:spacing w:val="-18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pacing w:val="2"/>
          <w:sz w:val="26"/>
          <w:szCs w:val="26"/>
        </w:rPr>
        <w:t xml:space="preserve">субсидия,</w:t>
      </w:r>
      <w:r>
        <w:rPr>
          <w:rFonts w:ascii="Times New Roman" w:hAnsi="Times New Roman"/>
          <w:spacing w:val="-1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мероприятие).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Субсидия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предоставляется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главным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распорядителем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средств министерством образования Белгородской области (далее - главный распорядитель)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пределах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объемов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бюджетных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ассигнований,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предусмотренных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законе Белгородской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области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бюджете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Белгородской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области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соответствующий финансовый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год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плановый</w:t>
      </w:r>
      <w:r>
        <w:rPr>
          <w:rFonts w:ascii="Times New Roman" w:hAnsi="Times New Roman"/>
          <w:sz w:val="26"/>
          <w:szCs w:val="26"/>
        </w:rPr>
        <w:t xml:space="preserve"> период, и </w:t>
      </w:r>
      <w:r>
        <w:rPr>
          <w:rFonts w:ascii="Times New Roman" w:hAnsi="Times New Roman"/>
          <w:sz w:val="26"/>
          <w:szCs w:val="26"/>
        </w:rPr>
        <w:t xml:space="preserve">лимитов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бюджетных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обязательств, утвержденных главному распорядителю как получателю бюджетных средств на цели, указанные в пункте 1 Порядка.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Субсидия предоставляется в соответствии с законом Белгородской области об областном бюджете на очередной финансовый год и плановый период.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Критерием отбора для предоставления субсидии является наличие введенных ставок советников по воспитанию в муниципальных общеобразовательных организациях на территории муниципальных образований Белгородской области.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Условиями предоставления субсидии являются: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наличие</w:t>
      </w:r>
      <w:r>
        <w:rPr>
          <w:rFonts w:ascii="Times New Roman" w:hAnsi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бюджете</w:t>
      </w:r>
      <w:r>
        <w:rPr>
          <w:rFonts w:ascii="Times New Roman" w:hAnsi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муниципального</w:t>
      </w:r>
      <w:r>
        <w:rPr>
          <w:rFonts w:ascii="Times New Roman" w:hAnsi="Times New Roman"/>
          <w:spacing w:val="2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района</w:t>
      </w:r>
      <w:r>
        <w:rPr>
          <w:rFonts w:ascii="Times New Roman" w:hAnsi="Times New Roman"/>
          <w:spacing w:val="18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(городского</w:t>
      </w:r>
      <w:r>
        <w:rPr>
          <w:rFonts w:ascii="Times New Roman" w:hAnsi="Times New Roman"/>
          <w:spacing w:val="22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округа)</w:t>
      </w:r>
      <w:r>
        <w:rPr>
          <w:rFonts w:ascii="Times New Roman" w:hAnsi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бюджетных</w:t>
      </w:r>
      <w:r>
        <w:rPr>
          <w:rFonts w:ascii="Times New Roman" w:hAnsi="Times New Roman"/>
          <w:w w:val="9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ассигнований</w:t>
      </w:r>
      <w:r>
        <w:rPr>
          <w:rFonts w:ascii="Times New Roman" w:hAnsi="Times New Roman"/>
          <w:spacing w:val="5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исполнение соответствующего расходного обязательства муниципального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района (городского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округа),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софинансирование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которого предоставляется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субсидия; наличие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муниципальной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программы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(подпрограммы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муниципальной программы),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предусматривающей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проведение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мероприятия;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заключение соглашения с муниципальным образованием Белгородской области о предоставлении субсидии из областного бюджета (далее - Соглашение)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в государственной интегрированной информационной системе управления общественными финансами «Электронный бюджет» в соответствии с типовой формой соглашения, утвержденной Министерством финансов Российской Федерации, которое должно содержать: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размер предоставляемой </w:t>
      </w:r>
      <w:r>
        <w:rPr>
          <w:rFonts w:ascii="Times New Roman" w:hAnsi="Times New Roman"/>
          <w:sz w:val="26"/>
          <w:szCs w:val="26"/>
        </w:rPr>
        <w:t xml:space="preserve">субсидии, порядок, условия и сроки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ее перечисления в бюджет муниципального образования Белгородской области;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значения показателей результативности использования субсидии, которые должны соответствовать значениям целевых показателей и индикаторов государственной программы Белгородской области «Развитие молодежной политики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территории Белгородской области», и обязательства муниципального образования Белгородской области по их достижению;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обязательства муниципального образования Белгородской области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по выполнению установленных требований к качеству и доступности предоставляемых муниципальных услуг - в отношении субсидий, предоставляемых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 xml:space="preserve">софинансирование</w:t>
      </w:r>
      <w:r>
        <w:rPr>
          <w:rFonts w:ascii="Times New Roman" w:hAnsi="Times New Roman"/>
          <w:sz w:val="26"/>
          <w:szCs w:val="26"/>
        </w:rPr>
        <w:t xml:space="preserve"> расходных обязательств по оказанию муниципальных услуг;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г) реквизиты муниципального правового акта, устанавливающего расходное обязательство муниципального образования Белгородской области, в целях которого предоставляется субсидия;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д) сроки и порядок представления отчетности об осуществлении расходов, источником финансового обеспечения которых является субсидия;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е) порядок осуществления контроля за выполнением муниципальным образованием Белгородской области </w:t>
      </w:r>
      <w:r>
        <w:rPr>
          <w:rFonts w:ascii="Times New Roman" w:hAnsi="Times New Roman"/>
          <w:sz w:val="26"/>
          <w:szCs w:val="26"/>
        </w:rPr>
        <w:t xml:space="preserve">обязательств,</w:t>
      </w:r>
      <w:r>
        <w:rPr>
          <w:rFonts w:ascii="Times New Roman" w:hAnsi="Times New Roman"/>
          <w:sz w:val="26"/>
          <w:szCs w:val="26"/>
        </w:rPr>
        <w:t xml:space="preserve"> предусмотренных Соглашением;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ж) последствия недостижения муниципальным образованием Белгородской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области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установленных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значений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показателей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результативности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использования субсидии;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з) ответственность сторон за нарушение условий Соглашения; 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и) условие о вступлении в силу Соглашения.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Соглашение заключается в </w:t>
      </w:r>
      <w:r>
        <w:rPr>
          <w:rFonts w:ascii="Times New Roman" w:hAnsi="Times New Roman"/>
          <w:sz w:val="26"/>
          <w:szCs w:val="26"/>
        </w:rPr>
        <w:t xml:space="preserve">срок</w:t>
      </w:r>
      <w:r>
        <w:rPr>
          <w:rFonts w:ascii="Times New Roman" w:hAnsi="Times New Roman"/>
          <w:spacing w:val="2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не позднее </w:t>
      </w:r>
      <w:r>
        <w:rPr>
          <w:rFonts w:ascii="Times New Roman" w:hAnsi="Times New Roman"/>
          <w:sz w:val="26"/>
          <w:szCs w:val="26"/>
        </w:rPr>
        <w:t xml:space="preserve">20</w:t>
      </w:r>
      <w:r>
        <w:rPr>
          <w:rFonts w:ascii="Times New Roman" w:hAnsi="Times New Roman"/>
          <w:spacing w:val="28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(двад</w:t>
      </w:r>
      <w:r>
        <w:rPr>
          <w:rFonts w:ascii="Times New Roman" w:hAnsi="Times New Roman"/>
          <w:sz w:val="26"/>
          <w:szCs w:val="26"/>
        </w:rPr>
        <w:t xml:space="preserve">цати)</w:t>
      </w:r>
      <w:r>
        <w:rPr>
          <w:rFonts w:ascii="Times New Roman" w:hAnsi="Times New Roman"/>
          <w:spacing w:val="3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рабочих</w:t>
      </w:r>
      <w:r>
        <w:rPr>
          <w:rFonts w:ascii="Times New Roman" w:hAnsi="Times New Roman"/>
          <w:spacing w:val="3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дней</w:t>
      </w:r>
      <w:r>
        <w:rPr>
          <w:rFonts w:ascii="Times New Roman" w:hAnsi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/>
          <w:w w:val="96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с</w:t>
      </w:r>
      <w:r>
        <w:rPr>
          <w:rFonts w:ascii="Times New Roman" w:hAnsi="Times New Roman"/>
          <w:spacing w:val="2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момента</w:t>
      </w:r>
      <w:r>
        <w:rPr>
          <w:rFonts w:ascii="Times New Roman" w:hAnsi="Times New Roman"/>
          <w:spacing w:val="4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принятия</w:t>
      </w:r>
      <w:r>
        <w:rPr>
          <w:rFonts w:ascii="Times New Roman" w:hAnsi="Times New Roman"/>
          <w:spacing w:val="4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правового</w:t>
      </w:r>
      <w:r>
        <w:rPr>
          <w:rFonts w:ascii="Times New Roman" w:hAnsi="Times New Roman"/>
          <w:spacing w:val="4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акта</w:t>
      </w:r>
      <w:r>
        <w:rPr>
          <w:rFonts w:ascii="Times New Roman" w:hAnsi="Times New Roman"/>
          <w:spacing w:val="2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Белгородской</w:t>
      </w:r>
      <w:r>
        <w:rPr>
          <w:rFonts w:ascii="Times New Roman" w:hAnsi="Times New Roman"/>
          <w:spacing w:val="48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области</w:t>
      </w:r>
      <w:r>
        <w:rPr>
          <w:rFonts w:ascii="Times New Roman" w:hAnsi="Times New Roman"/>
          <w:spacing w:val="4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</w:t>
      </w:r>
      <w:r>
        <w:rPr>
          <w:rFonts w:ascii="Times New Roman" w:hAnsi="Times New Roman"/>
          <w:spacing w:val="2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выделении</w:t>
      </w:r>
      <w:r>
        <w:rPr>
          <w:rFonts w:ascii="Times New Roman" w:hAnsi="Times New Roman"/>
          <w:spacing w:val="4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денежных</w:t>
      </w:r>
      <w:r>
        <w:rPr>
          <w:rFonts w:ascii="Times New Roman" w:hAnsi="Times New Roman"/>
          <w:w w:val="9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средств</w:t>
      </w:r>
      <w:r>
        <w:rPr>
          <w:rFonts w:ascii="Times New Roman" w:hAnsi="Times New Roman"/>
          <w:spacing w:val="-3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муниципальным</w:t>
      </w:r>
      <w:r>
        <w:rPr>
          <w:rFonts w:ascii="Times New Roman" w:hAnsi="Times New Roman"/>
          <w:spacing w:val="-22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образованиям</w:t>
      </w:r>
      <w:r>
        <w:rPr>
          <w:rFonts w:ascii="Times New Roman" w:hAnsi="Times New Roman"/>
          <w:spacing w:val="-3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Белгородской</w:t>
      </w:r>
      <w:r>
        <w:rPr>
          <w:rFonts w:ascii="Times New Roman" w:hAnsi="Times New Roman"/>
          <w:spacing w:val="-3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области.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Расчет размера субсидии, предоставляемой бюджету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i-го муниципального образования Белгородской области на </w:t>
      </w:r>
      <w:r>
        <w:rPr>
          <w:rFonts w:ascii="Times New Roman" w:hAnsi="Times New Roman"/>
          <w:sz w:val="26"/>
          <w:szCs w:val="26"/>
        </w:rPr>
        <w:t xml:space="preserve">реализацию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мероприятия,</w:t>
      </w:r>
      <w:r>
        <w:rPr>
          <w:rFonts w:ascii="Times New Roman" w:hAnsi="Times New Roman"/>
          <w:sz w:val="26"/>
          <w:szCs w:val="26"/>
        </w:rPr>
        <w:t xml:space="preserve"> осуществляется по формуле: </w:t>
      </w:r>
    </w:p>
    <w:p>
      <w:pPr>
        <w:pStyle w:val="ab"/>
        <w:spacing w:after="0" w:line="240" w:lineRule="auto"/>
        <w:ind w:left="0" w:right="-1" w:firstLine="851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w w:val="95"/>
          <w:sz w:val="26"/>
          <w:szCs w:val="26"/>
        </w:rPr>
        <w:t xml:space="preserve">где: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Si</w:t>
      </w:r>
      <w:r>
        <w:rPr>
          <w:rFonts w:ascii="Times New Roman" w:hAnsi="Times New Roman"/>
          <w:spacing w:val="-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=</w:t>
      </w:r>
      <w:r>
        <w:rPr>
          <w:rFonts w:ascii="Times New Roman" w:hAnsi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Kc</w:t>
      </w:r>
      <w:r>
        <w:rPr>
          <w:rFonts w:ascii="Times New Roman" w:hAnsi="Times New Roman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x</w:t>
      </w:r>
      <w:r>
        <w:rPr>
          <w:rFonts w:ascii="Times New Roman" w:hAnsi="Times New Roman"/>
          <w:spacing w:val="-1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Nc</w:t>
      </w:r>
      <w:r>
        <w:rPr>
          <w:rFonts w:ascii="Times New Roman" w:hAnsi="Times New Roman"/>
          <w:spacing w:val="-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x</w:t>
      </w:r>
      <w:r>
        <w:rPr>
          <w:rFonts w:ascii="Times New Roman" w:hAnsi="Times New Roman"/>
          <w:spacing w:val="1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12нн</w:t>
      </w:r>
      <w:r>
        <w:rPr>
          <w:rFonts w:ascii="Times New Roman" w:hAnsi="Times New Roman"/>
          <w:spacing w:val="-2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х</w:t>
      </w:r>
      <w:r>
        <w:rPr>
          <w:rFonts w:ascii="Times New Roman" w:hAnsi="Times New Roman"/>
          <w:spacing w:val="1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1,302,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Si</w:t>
      </w:r>
      <w:r>
        <w:rPr>
          <w:rFonts w:ascii="Times New Roman" w:hAnsi="Times New Roman"/>
          <w:spacing w:val="-18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-</w:t>
      </w:r>
      <w:r>
        <w:rPr>
          <w:rFonts w:ascii="Times New Roman" w:hAnsi="Times New Roman"/>
          <w:spacing w:val="-4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размер</w:t>
      </w:r>
      <w:r>
        <w:rPr>
          <w:rFonts w:ascii="Times New Roman" w:hAnsi="Times New Roman"/>
          <w:spacing w:val="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субсидии</w:t>
      </w:r>
      <w:r>
        <w:rPr>
          <w:rFonts w:ascii="Times New Roman" w:hAnsi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бюджету</w:t>
      </w:r>
      <w:r>
        <w:rPr>
          <w:rFonts w:ascii="Times New Roman" w:hAnsi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i-го</w:t>
      </w:r>
      <w:r>
        <w:rPr>
          <w:rFonts w:ascii="Times New Roman" w:hAnsi="Times New Roman"/>
          <w:spacing w:val="-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муниципального</w:t>
      </w:r>
      <w:r>
        <w:rPr>
          <w:rFonts w:ascii="Times New Roman" w:hAnsi="Times New Roman"/>
          <w:spacing w:val="1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образования</w:t>
      </w:r>
      <w:r>
        <w:rPr>
          <w:rFonts w:ascii="Times New Roman" w:hAnsi="Times New Roman"/>
          <w:spacing w:val="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Белгородской</w:t>
      </w:r>
      <w:r>
        <w:rPr>
          <w:rFonts w:ascii="Times New Roman" w:hAnsi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области</w:t>
      </w:r>
      <w:r>
        <w:rPr>
          <w:rFonts w:ascii="Times New Roman" w:hAnsi="Times New Roman"/>
          <w:spacing w:val="-2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pacing w:val="-3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соответствующем</w:t>
      </w:r>
      <w:r>
        <w:rPr>
          <w:rFonts w:ascii="Times New Roman" w:hAnsi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финансовом</w:t>
      </w:r>
      <w:r>
        <w:rPr>
          <w:rFonts w:ascii="Times New Roman" w:hAnsi="Times New Roman"/>
          <w:spacing w:val="-2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году;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Кс</w:t>
      </w:r>
      <w:r>
        <w:rPr>
          <w:rFonts w:ascii="Times New Roman" w:hAnsi="Times New Roman"/>
          <w:spacing w:val="61"/>
          <w:sz w:val="26"/>
          <w:szCs w:val="26"/>
        </w:rPr>
        <w:t xml:space="preserve"> </w:t>
      </w:r>
      <w:r>
        <w:rPr>
          <w:rFonts w:ascii="Times New Roman" w:hAnsi="Times New Roman"/>
          <w:w w:val="185"/>
          <w:sz w:val="26"/>
          <w:szCs w:val="26"/>
        </w:rPr>
        <w:t xml:space="preserve">-</w:t>
      </w:r>
      <w:r>
        <w:rPr>
          <w:rFonts w:ascii="Times New Roman" w:hAnsi="Times New Roman"/>
          <w:spacing w:val="-25"/>
          <w:w w:val="18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количество</w:t>
      </w:r>
      <w:r>
        <w:rPr>
          <w:rFonts w:ascii="Times New Roman" w:hAnsi="Times New Roman"/>
          <w:spacing w:val="2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ставок</w:t>
      </w:r>
      <w:r>
        <w:rPr>
          <w:rFonts w:ascii="Times New Roman" w:hAnsi="Times New Roman"/>
          <w:spacing w:val="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советников</w:t>
      </w:r>
      <w:r>
        <w:rPr>
          <w:rFonts w:ascii="Times New Roman" w:hAnsi="Times New Roman"/>
          <w:spacing w:val="1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</w:t>
      </w:r>
      <w:r>
        <w:rPr>
          <w:rFonts w:ascii="Times New Roman" w:hAnsi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воспитанию</w:t>
      </w:r>
      <w:r>
        <w:rPr>
          <w:rFonts w:ascii="Times New Roman" w:hAnsi="Times New Roman"/>
          <w:spacing w:val="2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pacing w:val="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i-м</w:t>
      </w:r>
      <w:r>
        <w:rPr>
          <w:rFonts w:ascii="Times New Roman" w:hAnsi="Times New Roman"/>
          <w:spacing w:val="1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муниципальном</w:t>
      </w:r>
      <w:r>
        <w:rPr>
          <w:rFonts w:ascii="Times New Roman" w:hAnsi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образовании</w:t>
      </w:r>
      <w:r>
        <w:rPr>
          <w:rFonts w:ascii="Times New Roman" w:hAnsi="Times New Roman"/>
          <w:spacing w:val="-2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Белгородской</w:t>
      </w:r>
      <w:r>
        <w:rPr>
          <w:rFonts w:ascii="Times New Roman" w:hAnsi="Times New Roman"/>
          <w:spacing w:val="-1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области</w:t>
      </w:r>
      <w:r>
        <w:rPr>
          <w:rFonts w:ascii="Times New Roman" w:hAnsi="Times New Roman"/>
          <w:spacing w:val="-3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pacing w:val="-3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соответствующем</w:t>
      </w:r>
      <w:r>
        <w:rPr>
          <w:rFonts w:ascii="Times New Roman" w:hAnsi="Times New Roman"/>
          <w:spacing w:val="-1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финансовом</w:t>
      </w:r>
      <w:r>
        <w:rPr>
          <w:rFonts w:ascii="Times New Roman" w:hAnsi="Times New Roman"/>
          <w:spacing w:val="-2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году;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Nc</w:t>
      </w:r>
      <w:r>
        <w:rPr>
          <w:rFonts w:ascii="Times New Roman" w:hAnsi="Times New Roman"/>
          <w:spacing w:val="18"/>
          <w:sz w:val="26"/>
          <w:szCs w:val="26"/>
        </w:rPr>
        <w:t xml:space="preserve"> </w:t>
      </w:r>
      <w:r>
        <w:rPr>
          <w:rFonts w:ascii="Times New Roman" w:hAnsi="Times New Roman"/>
          <w:w w:val="180"/>
          <w:sz w:val="26"/>
          <w:szCs w:val="26"/>
        </w:rPr>
        <w:t xml:space="preserve">-</w:t>
      </w:r>
      <w:r>
        <w:rPr>
          <w:rFonts w:ascii="Times New Roman" w:hAnsi="Times New Roman"/>
          <w:spacing w:val="-3"/>
          <w:w w:val="18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среднемесячная</w:t>
      </w:r>
      <w:r>
        <w:rPr>
          <w:rFonts w:ascii="Times New Roman" w:hAnsi="Times New Roman"/>
          <w:spacing w:val="4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начисленная заработная </w:t>
      </w:r>
      <w:r>
        <w:rPr>
          <w:rFonts w:ascii="Times New Roman" w:hAnsi="Times New Roman"/>
          <w:sz w:val="26"/>
          <w:szCs w:val="26"/>
        </w:rPr>
        <w:t xml:space="preserve">плата</w:t>
      </w:r>
      <w:r>
        <w:rPr>
          <w:rFonts w:ascii="Times New Roman" w:hAnsi="Times New Roman"/>
          <w:spacing w:val="25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наемных</w:t>
      </w:r>
      <w:r>
        <w:rPr>
          <w:rFonts w:ascii="Times New Roman" w:hAnsi="Times New Roman"/>
          <w:spacing w:val="2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работников</w:t>
      </w:r>
      <w:r>
        <w:rPr>
          <w:rFonts w:ascii="Times New Roman" w:hAnsi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/>
          <w:w w:val="96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pacing w:val="5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организациях,</w:t>
      </w:r>
      <w:r>
        <w:rPr>
          <w:rFonts w:ascii="Times New Roman" w:hAnsi="Times New Roman"/>
          <w:spacing w:val="1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</w:t>
      </w:r>
      <w:r>
        <w:rPr>
          <w:rFonts w:ascii="Times New Roman" w:hAnsi="Times New Roman"/>
          <w:sz w:val="26"/>
          <w:szCs w:val="26"/>
        </w:rPr>
        <w:t xml:space="preserve"> индивидуальных</w:t>
      </w:r>
      <w:r>
        <w:rPr>
          <w:rFonts w:ascii="Times New Roman" w:hAnsi="Times New Roman"/>
          <w:spacing w:val="2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предпринимателей</w:t>
      </w:r>
      <w:r>
        <w:rPr>
          <w:rFonts w:ascii="Times New Roman" w:hAnsi="Times New Roman"/>
          <w:spacing w:val="2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</w:t>
      </w:r>
      <w:r>
        <w:rPr>
          <w:rFonts w:ascii="Times New Roman" w:hAnsi="Times New Roman"/>
          <w:spacing w:val="5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физических</w:t>
      </w:r>
      <w:r>
        <w:rPr>
          <w:rFonts w:ascii="Times New Roman" w:hAnsi="Times New Roman"/>
          <w:spacing w:val="6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лиц</w:t>
      </w:r>
      <w:r>
        <w:rPr>
          <w:rFonts w:ascii="Times New Roman" w:hAnsi="Times New Roman"/>
          <w:w w:val="9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(среднемесячного</w:t>
      </w:r>
      <w:r>
        <w:rPr>
          <w:rFonts w:ascii="Times New Roman" w:hAnsi="Times New Roman"/>
          <w:spacing w:val="4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дохода</w:t>
      </w:r>
      <w:r>
        <w:rPr>
          <w:rFonts w:ascii="Times New Roman" w:hAnsi="Times New Roman"/>
          <w:spacing w:val="3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</w:t>
      </w:r>
      <w:r>
        <w:rPr>
          <w:rFonts w:ascii="Times New Roman" w:hAnsi="Times New Roman"/>
          <w:spacing w:val="1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трудовой</w:t>
      </w:r>
      <w:r>
        <w:rPr>
          <w:rFonts w:ascii="Times New Roman" w:hAnsi="Times New Roman"/>
          <w:spacing w:val="4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деятельности)</w:t>
      </w:r>
      <w:r>
        <w:rPr>
          <w:rFonts w:ascii="Times New Roman" w:hAnsi="Times New Roman"/>
          <w:spacing w:val="3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pacing w:val="1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целом</w:t>
      </w:r>
      <w:r>
        <w:rPr>
          <w:rFonts w:ascii="Times New Roman" w:hAnsi="Times New Roman"/>
          <w:spacing w:val="3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</w:t>
      </w:r>
      <w:r>
        <w:rPr>
          <w:rFonts w:ascii="Times New Roman" w:hAnsi="Times New Roman"/>
          <w:spacing w:val="1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Белгородской</w:t>
      </w:r>
      <w:r>
        <w:rPr>
          <w:rFonts w:ascii="Times New Roman" w:hAnsi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области</w:t>
      </w:r>
      <w:r>
        <w:rPr>
          <w:rFonts w:ascii="Times New Roman" w:hAnsi="Times New Roman"/>
          <w:spacing w:val="4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</w:t>
      </w:r>
      <w:r>
        <w:rPr>
          <w:rFonts w:ascii="Times New Roman" w:hAnsi="Times New Roman"/>
          <w:spacing w:val="41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предшествующем</w:t>
      </w:r>
      <w:r>
        <w:rPr>
          <w:rFonts w:ascii="Times New Roman" w:hAnsi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подаче</w:t>
      </w:r>
      <w:r>
        <w:rPr>
          <w:rFonts w:ascii="Times New Roman" w:hAnsi="Times New Roman"/>
          <w:spacing w:val="4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заявки</w:t>
      </w:r>
      <w:r>
        <w:rPr>
          <w:rFonts w:ascii="Times New Roman" w:hAnsi="Times New Roman"/>
          <w:spacing w:val="5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финансовом</w:t>
      </w:r>
      <w:r>
        <w:rPr>
          <w:rFonts w:ascii="Times New Roman" w:hAnsi="Times New Roman"/>
          <w:spacing w:val="60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году,</w:t>
      </w:r>
      <w:r>
        <w:rPr>
          <w:rFonts w:ascii="Times New Roman" w:hAnsi="Times New Roman"/>
          <w:spacing w:val="4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по</w:t>
      </w:r>
      <w:r>
        <w:rPr>
          <w:rFonts w:ascii="Times New Roman" w:hAnsi="Times New Roman"/>
          <w:spacing w:val="3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данным</w:t>
      </w:r>
      <w:r>
        <w:rPr>
          <w:rFonts w:ascii="Times New Roman" w:hAnsi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федерального</w:t>
      </w:r>
      <w:r>
        <w:rPr>
          <w:rFonts w:ascii="Times New Roman" w:hAnsi="Times New Roman"/>
          <w:spacing w:val="3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статистического</w:t>
      </w:r>
      <w:r>
        <w:rPr>
          <w:rFonts w:ascii="Times New Roman" w:hAnsi="Times New Roman"/>
          <w:spacing w:val="2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наблюдения, с</w:t>
      </w:r>
      <w:r>
        <w:rPr>
          <w:rFonts w:ascii="Times New Roman" w:hAnsi="Times New Roman"/>
          <w:spacing w:val="2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учетом</w:t>
      </w:r>
      <w:r>
        <w:rPr>
          <w:rFonts w:ascii="Times New Roman" w:hAnsi="Times New Roman"/>
          <w:spacing w:val="57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индексации</w:t>
      </w:r>
      <w:r>
        <w:rPr>
          <w:rFonts w:ascii="Times New Roman" w:hAnsi="Times New Roman"/>
          <w:spacing w:val="59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</w:t>
      </w:r>
      <w:r>
        <w:rPr>
          <w:rFonts w:ascii="Times New Roman" w:hAnsi="Times New Roman"/>
          <w:spacing w:val="38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текущий</w:t>
      </w:r>
      <w:r>
        <w:rPr>
          <w:rFonts w:ascii="Times New Roman" w:hAnsi="Times New Roman"/>
          <w:w w:val="96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финансовый</w:t>
      </w:r>
      <w:r>
        <w:rPr>
          <w:rFonts w:ascii="Times New Roman" w:hAnsi="Times New Roman"/>
          <w:spacing w:val="-24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год.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Финансирование данных расходов осуществляется главным распорядителем в пределах утвержденных лимитов бюджетных обязательств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и объемов бюджетного финансирования на основании заявок от муниципальных образований Белгородской области, подтверждающих соблюдение условий, установленных пунктом 5 Порядка.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получения субсидии уполномоченные органы местного самоуправления </w:t>
      </w:r>
      <w:r>
        <w:rPr>
          <w:rFonts w:ascii="Times New Roman" w:hAnsi="Times New Roman"/>
          <w:sz w:val="26"/>
          <w:szCs w:val="26"/>
        </w:rPr>
        <w:t xml:space="preserve">Белгородской</w:t>
      </w:r>
      <w:r>
        <w:rPr>
          <w:rFonts w:ascii="Times New Roman" w:hAnsi="Times New Roman"/>
          <w:sz w:val="26"/>
          <w:szCs w:val="26"/>
        </w:rPr>
        <w:t xml:space="preserve"> области направляют главному распорядителю сводную заявку на перечисление субсидии для осуществления мероприятия с приложением расчета потребности в средствах </w:t>
      </w:r>
      <w:r>
        <w:rPr>
          <w:rFonts w:ascii="Times New Roman" w:hAnsi="Times New Roman"/>
          <w:sz w:val="26"/>
          <w:szCs w:val="26"/>
        </w:rPr>
        <w:t xml:space="preserve">субсидии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</w:t>
      </w:r>
      <w:r>
        <w:rPr>
          <w:rFonts w:ascii="Times New Roman" w:hAnsi="Times New Roman"/>
          <w:sz w:val="26"/>
          <w:szCs w:val="26"/>
        </w:rPr>
        <w:t xml:space="preserve"> указанием </w:t>
      </w:r>
      <w:r>
        <w:rPr>
          <w:rFonts w:ascii="Times New Roman" w:hAnsi="Times New Roman"/>
          <w:sz w:val="26"/>
          <w:szCs w:val="26"/>
        </w:rPr>
        <w:t xml:space="preserve">количества</w:t>
      </w:r>
      <w:r>
        <w:rPr>
          <w:rFonts w:ascii="Times New Roman" w:hAnsi="Times New Roman"/>
          <w:sz w:val="26"/>
          <w:szCs w:val="26"/>
        </w:rPr>
        <w:t xml:space="preserve"> ставок советников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по воспитанию и общей суммы требующихся средств субсидии.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Заявка должна быть подписана руководителем и главным бухгалтером уполномоченного органа местного самоуправления Белгородской области.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Сводные заявки уполномоченных органов местного самоуправления Белгородской области формируются и </w:t>
      </w:r>
      <w:r>
        <w:rPr>
          <w:rFonts w:ascii="Times New Roman" w:hAnsi="Times New Roman"/>
          <w:sz w:val="26"/>
          <w:szCs w:val="26"/>
        </w:rPr>
        <w:t xml:space="preserve">направляются главному</w:t>
      </w:r>
      <w:r>
        <w:rPr>
          <w:rFonts w:ascii="Times New Roman" w:hAnsi="Times New Roman"/>
          <w:sz w:val="26"/>
          <w:szCs w:val="26"/>
        </w:rPr>
        <w:t xml:space="preserve"> распорядителю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два раза в месяц: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до 10-го числа текущего месяца;</w:t>
      </w:r>
    </w:p>
    <w:p>
      <w:pPr>
        <w:spacing w:after="0" w:line="240" w:lineRule="auto"/>
        <w:ind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25-го числа текущего месяца.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Перечисление субсидии осуществляется с лицевого счета получателя бюджетных </w:t>
      </w:r>
      <w:r>
        <w:rPr>
          <w:rFonts w:ascii="Times New Roman" w:hAnsi="Times New Roman"/>
          <w:sz w:val="26"/>
          <w:szCs w:val="26"/>
        </w:rPr>
        <w:t xml:space="preserve">средств,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открытого</w:t>
      </w:r>
      <w:r>
        <w:rPr>
          <w:rFonts w:ascii="Times New Roman" w:hAnsi="Times New Roman"/>
          <w:sz w:val="26"/>
          <w:szCs w:val="26"/>
        </w:rPr>
        <w:t xml:space="preserve"> министерству </w:t>
      </w:r>
      <w:r>
        <w:rPr>
          <w:rFonts w:ascii="Times New Roman" w:hAnsi="Times New Roman"/>
          <w:sz w:val="26"/>
          <w:szCs w:val="26"/>
        </w:rPr>
        <w:t xml:space="preserve">образования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Белгородской</w:t>
      </w:r>
      <w:r>
        <w:rPr>
          <w:rFonts w:ascii="Times New Roman" w:hAnsi="Times New Roman"/>
          <w:sz w:val="26"/>
          <w:szCs w:val="26"/>
        </w:rPr>
        <w:t xml:space="preserve"> области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в министерстве финансов и бюджетной политики Белгородской области, на лицевые счета для учета операций по переданным полномочиям получателя средств, открытые министерству образования Белгородской области в Управлении Федерального казначейства по Белгородской области.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проведения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платежных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операций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главный</w:t>
      </w:r>
      <w:r>
        <w:rPr>
          <w:rFonts w:ascii="Times New Roman" w:hAnsi="Times New Roman"/>
          <w:sz w:val="26"/>
          <w:szCs w:val="26"/>
        </w:rPr>
        <w:t xml:space="preserve"> распорядитель в течение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3 (трех) рабочих дней со дня получения сводных заявок уполномоченных органов местного самоуправления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Белгородской области на финансирование в порядке, установленном министерством финансов и бюджетной политики Белгородской области, формирует в ЦИТ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«АЦК-Финанс</w:t>
      </w:r>
      <w:r>
        <w:rPr>
          <w:rFonts w:ascii="Times New Roman" w:hAnsi="Times New Roman"/>
          <w:sz w:val="26"/>
          <w:szCs w:val="26"/>
        </w:rPr>
        <w:t xml:space="preserve">ы</w:t>
      </w:r>
      <w:r>
        <w:rPr>
          <w:rFonts w:ascii="Times New Roman" w:hAnsi="Times New Roman"/>
          <w:sz w:val="26"/>
          <w:szCs w:val="26"/>
        </w:rPr>
        <w:t xml:space="preserve">» заявку на финансирование и включает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их в распорядительные заявки в разрезе муниципальных образований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с прикреплением реестра получателей субсидии.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Министерство финансов и </w:t>
      </w:r>
      <w:r>
        <w:rPr>
          <w:rFonts w:ascii="Times New Roman" w:hAnsi="Times New Roman"/>
          <w:sz w:val="26"/>
          <w:szCs w:val="26"/>
        </w:rPr>
        <w:t xml:space="preserve">бюджетной</w:t>
      </w:r>
      <w:r>
        <w:rPr>
          <w:rFonts w:ascii="Times New Roman" w:hAnsi="Times New Roman"/>
          <w:sz w:val="26"/>
          <w:szCs w:val="26"/>
        </w:rPr>
        <w:t xml:space="preserve"> политики Белгородской области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основании полученных заявок в течение 3 (трех) рабочих дней направляет платежные документы в Управление Федерального казначейства по Белгородской области.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Уполномоченные органа местного самоуправления Белгородской области представляют главному распорядителю следующие отчеты (по формам, </w:t>
      </w:r>
      <w:r>
        <w:rPr>
          <w:rFonts w:ascii="Times New Roman" w:hAnsi="Times New Roman"/>
          <w:sz w:val="26"/>
          <w:szCs w:val="26"/>
        </w:rPr>
        <w:t xml:space="preserve">установленным</w:t>
      </w:r>
      <w:r>
        <w:rPr>
          <w:rFonts w:ascii="Times New Roman" w:hAnsi="Times New Roman"/>
          <w:sz w:val="26"/>
          <w:szCs w:val="26"/>
        </w:rPr>
        <w:t xml:space="preserve"> Соглашениями):</w:t>
      </w:r>
    </w:p>
    <w:p>
      <w:pPr>
        <w:pStyle w:val="ab"/>
        <w:numPr>
          <w:numId w:val="16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расходах регионального/муниципального бюджета, в целях </w:t>
      </w:r>
      <w:r>
        <w:rPr>
          <w:rFonts w:ascii="Times New Roman" w:hAnsi="Times New Roman"/>
          <w:sz w:val="26"/>
          <w:szCs w:val="26"/>
        </w:rPr>
        <w:t xml:space="preserve">софинансирования</w:t>
      </w:r>
      <w:r>
        <w:rPr>
          <w:rFonts w:ascii="Times New Roman" w:hAnsi="Times New Roman"/>
          <w:sz w:val="26"/>
          <w:szCs w:val="26"/>
        </w:rPr>
        <w:t xml:space="preserve"> которых предоставляется субсидия, не позднее 10-го числа месяца, следующего за отчетным кварталом;</w:t>
      </w:r>
    </w:p>
    <w:p>
      <w:pPr>
        <w:pStyle w:val="ab"/>
        <w:numPr>
          <w:numId w:val="16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достижении значений результатов использования субсидии:</w:t>
      </w:r>
    </w:p>
    <w:p>
      <w:pPr>
        <w:pStyle w:val="ab"/>
        <w:numPr>
          <w:numId w:val="16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ежегодные отчеты - не позднее 15 (пятнадцати) рабочих дней месяца, следующего за отчетным периодом;</w:t>
      </w:r>
    </w:p>
    <w:p>
      <w:pPr>
        <w:pStyle w:val="ab"/>
        <w:numPr>
          <w:numId w:val="16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ежегодные уточненные отчеты - не позднее 5 февраля года, следующего </w:t>
      </w:r>
      <w:r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за отчетным годом.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Уполномоченные органа местного самоуправления Белгородской области несут ответственность за целевое использование субсидии по назначению.</w:t>
      </w:r>
    </w:p>
    <w:p>
      <w:pPr>
        <w:pStyle w:val="ab"/>
        <w:numPr>
          <w:numId w:val="12"/>
          <w:ilvl w:val="0"/>
        </w:numPr>
        <w:spacing w:after="0" w:line="240" w:lineRule="auto"/>
        <w:ind w:left="0" w:right="-1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Главный распорядитель осуществляет проверку соблюдения уполномоченным органом местного самоуправления Белгородской области целей, условий и порядка предоставления субсидии, в том числе в части достижения результата предоставления субсидии, а также органы государственного финансового контроля осуществляют проверки в соответствии со статьями 268.1 и 269.2 Бюджетного кодекса Российской Федерации.</w:t>
      </w:r>
    </w:p>
    <w:p>
      <w:pPr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</w:p>
    <w:p>
      <w:pPr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</w:p>
    <w:tbl>
      <w:tblPr>
        <w:tblW w:w="9639" w:type="dxa"/>
        <w:tblLayout w:type="fixed"/>
        <w:tblCellMar>
          <w:left w:w="76" w:type="dxa"/>
          <w:right w:w="76" w:type="dxa"/>
        </w:tblCellMar>
        <w:tblLook w:val="0000" w:firstRow="0" w:lastRow="0" w:firstColumn="0" w:lastColumn="0" w:noHBand="0" w:noVBand="0"/>
      </w:tblPr>
      <w:tblGrid>
        <w:gridCol w:w="4820"/>
        <w:gridCol w:w="2693"/>
        <w:gridCol w:w="2126"/>
      </w:tblGrid>
      <w:tr>
        <w:tc>
          <w:tcPr>
            <w:tcW w:w="4820" w:type="dxa"/>
            <w:shd w:val="clear" w:color="auto" w:fill="auto"/>
          </w:tcPr>
          <w:p>
            <w:pPr>
              <w:pStyle w:val="af7"/>
              <w:ind w:right="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Заместитель главы </w:t>
            </w:r>
          </w:p>
          <w:p>
            <w:pPr>
              <w:pStyle w:val="af7"/>
              <w:ind w:right="3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администрации Ивнянского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 xml:space="preserve">района по социально-культурному развитию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af7"/>
              <w:ind w:right="3"/>
              <w:rPr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af7"/>
              <w:ind w:right="3"/>
              <w:rPr>
                <w:b/>
                <w:sz w:val="26"/>
                <w:szCs w:val="26"/>
              </w:rPr>
            </w:pPr>
          </w:p>
          <w:p>
            <w:pPr>
              <w:pStyle w:val="af7"/>
              <w:ind w:left="0" w:right="3"/>
              <w:rPr>
                <w:b/>
                <w:sz w:val="26"/>
                <w:szCs w:val="26"/>
              </w:rPr>
            </w:pPr>
          </w:p>
          <w:p>
            <w:pPr>
              <w:pStyle w:val="af7"/>
              <w:ind w:right="3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Т.В. Абраменко</w:t>
            </w:r>
          </w:p>
        </w:tc>
      </w:tr>
    </w:tbl>
    <w:p>
      <w:pPr>
        <w:spacing w:after="0" w:line="240" w:lineRule="auto"/>
        <w:ind w:right="-1"/>
        <w:jc w:val="both"/>
        <w:rPr>
          <w:rFonts w:ascii="Times New Roman" w:hAnsi="Times New Roman"/>
          <w:sz w:val="26"/>
          <w:szCs w:val="26"/>
        </w:rPr>
      </w:pPr>
    </w:p>
    <w:sectPr>
      <w:pgSz w:w="11840" w:h="16880"/>
      <w:pgMar w:top="567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  <w:endnote w:type="continuationNotice" w:id="1">
    <w:p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DejaVu Sans">
    <w:panose1 w:val="020B0603030804020204"/>
  </w:font>
  <w:font w:name="Segoe UI">
    <w:panose1 w:val="020B0502040504020204"/>
  </w:font>
  <w:font w:name="Calibri">
    <w:panose1 w:val="020F0502020204030204"/>
  </w:font>
  <w:font w:name="Arial Narrow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type="continuationNotice" w:id="1">
    <w:p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:id w:val="989830387"/>
      <w:docPartObj>
        <w:docPartGallery w:val="Page Numbers (Top of Page)"/>
        <w:docPartUnique w:val="true"/>
      </w:docPartObj>
    </w:sdtPr>
    <w:sdtContent>
      <w:p>
        <w:pPr>
          <w:pStyle w:val="a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suff w:val="space"/>
      <w:lvlText w:val="%1."/>
      <w:lvlJc w:val="left"/>
      <w:pPr>
        <w:tabs>
          <w:tab w:val="num" w:pos="217"/>
        </w:tabs>
        <w:ind w:left="720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tabs>
          <w:tab w:val="num" w:pos="0"/>
        </w:tabs>
        <w:ind w:left="116" w:hanging="320"/>
      </w:pPr>
      <w:rPr>
        <w:rFonts w:hint="default" w:ascii="Times New Roman" w:hAnsi="Times New Roman" w:eastAsia="Times New Roman" w:cs="Times New Roman"/>
        <w:sz w:val="28"/>
        <w:szCs w:val="28"/>
      </w:rPr>
    </w:lvl>
  </w:abstractNum>
  <w:abstractNum w:abstractNumId="2">
    <w:multiLevelType w:val="hybridMultilevel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672" w:hanging="256"/>
      </w:pPr>
      <w:rPr>
        <w:rFonts w:hint="default" w:ascii="Symbol" w:hAnsi="Symbol" w:cs="Symbol"/>
        <w:sz w:val="28"/>
        <w:szCs w:val="28"/>
      </w:rPr>
    </w:lvl>
  </w:abstractNum>
  <w:abstractNum w:abstractNumId="3">
    <w:multiLevelType w:val="hybridMultilevel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2138" w:hanging="360"/>
      </w:pPr>
      <w:rPr>
        <w:rFonts w:hint="default" w:ascii="Symbol" w:hAnsi="Symbol" w:cs="Symbol"/>
      </w:rPr>
    </w:lvl>
  </w:abstractNum>
  <w:abstractNum w:abstractNumId="4">
    <w:multiLevelType w:val="hybridMultilevel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429" w:hanging="360"/>
      </w:pPr>
    </w:lvl>
  </w:abstractNum>
  <w:abstractNum w:abstractNumId="5">
    <w:multiLevelType w:val="hybridMultilevel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4755" w:hanging="360"/>
      </w:pPr>
      <w:rPr>
        <w:rFonts w:hint="default" w:ascii="Symbol" w:hAnsi="Symbol" w:cs="Symbol"/>
      </w:rPr>
    </w:lvl>
  </w:abstractNum>
  <w:abstractNum w:abstractNumId="6">
    <w:multiLevelType w:val="hybridMultilevel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812" w:hanging="320"/>
      </w:pPr>
      <w:rPr>
        <w:rFonts w:hint="default" w:ascii="Times New Roman" w:hAnsi="Times New Roman" w:eastAsia="Times New Roman" w:cs="Times New Roman"/>
        <w:sz w:val="26"/>
        <w:szCs w:val="26"/>
      </w:rPr>
    </w:lvl>
  </w:abstractNum>
  <w:abstractNum w:abstractNumId="7">
    <w:multiLevelType w:val="hybridMultilevel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1429" w:hanging="360"/>
      </w:pPr>
      <w:rPr>
        <w:rFonts w:hint="default" w:ascii="Symbol" w:hAnsi="Symbol" w:cs="Symbol"/>
      </w:rPr>
    </w:lvl>
  </w:abstractNum>
  <w:abstractNum w:abstractNumId="8">
    <w:multiLevelType w:val="hybridMultilevel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2138" w:hanging="360"/>
      </w:pPr>
      <w:rPr>
        <w:rFonts w:hint="default" w:ascii="Symbol" w:hAnsi="Symbol" w:cs="Symbol"/>
      </w:rPr>
    </w:lvl>
  </w:abstractNum>
  <w:abstractNum w:abstractNumId="9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 w:tplc="0000001B">
      <w:start w:val="1"/>
      <w:numFmt w:val="bullet"/>
      <w:lvlText w:val=""/>
      <w:lvlJc w:val="left"/>
      <w:pPr>
        <w:ind w:left="1571" w:hanging="360"/>
      </w:pPr>
      <w:rPr>
        <w:rFonts w:hint="default" w:ascii="Symbol" w:hAnsi="Symbol" w:cs="Symbol"/>
      </w:rPr>
    </w:lvl>
    <w:lvl w:ilvl="1" w:tentative="1" w:tplc="04190003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1" w:tplc="04190005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1" w:tplc="0419000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1" w:tplc="04190003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1" w:tplc="04190005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1" w:tplc="0419000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1" w:tplc="04190003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1" w:tplc="04190005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 w:tplc="CBCAB478">
      <w:start w:val="1"/>
      <w:numFmt w:val="bullet"/>
      <w:pStyle w:val="1"/>
      <w:lvlText w:val=""/>
      <w:lvlJc w:val="left"/>
      <w:pPr>
        <w:ind w:left="1429" w:hanging="360"/>
      </w:pPr>
      <w:rPr>
        <w:rFonts w:hint="default" w:ascii="Symbol" w:hAnsi="Symbol"/>
      </w:rPr>
    </w:lvl>
    <w:lvl w:ilvl="1" w:tentative="1" w:tplc="0419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/>
      </w:rPr>
    </w:lvl>
    <w:lvl w:ilvl="2" w:tentative="1" w:tplc="04190005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1" w:tplc="0419000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1" w:tplc="04190003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/>
      </w:rPr>
    </w:lvl>
    <w:lvl w:ilvl="5" w:tentative="1" w:tplc="04190005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1" w:tplc="0419000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1" w:tplc="04190003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/>
      </w:rPr>
    </w:lvl>
    <w:lvl w:ilvl="8" w:tentative="1" w:tplc="04190005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 w:tplc="5AF60FAE">
      <w:numFmt w:val="bullet"/>
      <w:lvlText w:val=""/>
      <w:lvlJc w:val="left"/>
      <w:pPr>
        <w:ind w:left="1421" w:hanging="570"/>
      </w:pPr>
      <w:rPr>
        <w:rFonts w:hint="default" w:ascii="Symbol" w:hAnsi="Symbol" w:cs="Times New Roman" w:eastAsiaTheme="minorEastAsia"/>
      </w:rPr>
    </w:lvl>
    <w:lvl w:ilvl="1" w:tentative="1" w:tplc="04190003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entative="1" w:tplc="04190005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entative="1" w:tplc="0419000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entative="1" w:tplc="04190003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entative="1" w:tplc="04190005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entative="1" w:tplc="0419000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entative="1" w:tplc="04190003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entative="1" w:tplc="04190005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 w:tplc="F314D21C">
      <w:start w:val="1"/>
      <w:numFmt w:val="bullet"/>
      <w:lvlText w:val="-"/>
      <w:lvlJc w:val="left"/>
      <w:pPr>
        <w:ind w:left="117" w:hanging="275"/>
      </w:pPr>
      <w:rPr>
        <w:rFonts w:hint="default" w:ascii="Times New Roman" w:hAnsi="Times New Roman" w:eastAsia="Times New Roman"/>
        <w:w w:val="98"/>
        <w:sz w:val="26"/>
        <w:szCs w:val="26"/>
      </w:rPr>
    </w:lvl>
    <w:lvl w:ilvl="1" w:tplc="08CAAFB4">
      <w:start w:val="1"/>
      <w:numFmt w:val="bullet"/>
      <w:lvlText w:val="•"/>
      <w:lvlJc w:val="left"/>
      <w:pPr>
        <w:ind w:left="1086" w:hanging="275"/>
      </w:pPr>
      <w:rPr>
        <w:rFonts w:hint="default"/>
      </w:rPr>
    </w:lvl>
    <w:lvl w:ilvl="2" w:tplc="208E3596">
      <w:start w:val="1"/>
      <w:numFmt w:val="bullet"/>
      <w:lvlText w:val="•"/>
      <w:lvlJc w:val="left"/>
      <w:pPr>
        <w:ind w:left="2056" w:hanging="275"/>
      </w:pPr>
      <w:rPr>
        <w:rFonts w:hint="default"/>
      </w:rPr>
    </w:lvl>
    <w:lvl w:ilvl="3" w:tplc="3228958A">
      <w:start w:val="1"/>
      <w:numFmt w:val="bullet"/>
      <w:lvlText w:val="•"/>
      <w:lvlJc w:val="left"/>
      <w:pPr>
        <w:ind w:left="3025" w:hanging="275"/>
      </w:pPr>
      <w:rPr>
        <w:rFonts w:hint="default"/>
      </w:rPr>
    </w:lvl>
    <w:lvl w:ilvl="4" w:tplc="654EF9C0">
      <w:start w:val="1"/>
      <w:numFmt w:val="bullet"/>
      <w:lvlText w:val="•"/>
      <w:lvlJc w:val="left"/>
      <w:pPr>
        <w:ind w:left="3995" w:hanging="275"/>
      </w:pPr>
      <w:rPr>
        <w:rFonts w:hint="default"/>
      </w:rPr>
    </w:lvl>
    <w:lvl w:ilvl="5" w:tplc="C4384FE4">
      <w:start w:val="1"/>
      <w:numFmt w:val="bullet"/>
      <w:lvlText w:val="•"/>
      <w:lvlJc w:val="left"/>
      <w:pPr>
        <w:ind w:left="4964" w:hanging="275"/>
      </w:pPr>
      <w:rPr>
        <w:rFonts w:hint="default"/>
      </w:rPr>
    </w:lvl>
    <w:lvl w:ilvl="6" w:tplc="425AFD82">
      <w:start w:val="1"/>
      <w:numFmt w:val="bullet"/>
      <w:lvlText w:val="•"/>
      <w:lvlJc w:val="left"/>
      <w:pPr>
        <w:ind w:left="5934" w:hanging="275"/>
      </w:pPr>
      <w:rPr>
        <w:rFonts w:hint="default"/>
      </w:rPr>
    </w:lvl>
    <w:lvl w:ilvl="7" w:tplc="EB7CB2AA">
      <w:start w:val="1"/>
      <w:numFmt w:val="bullet"/>
      <w:lvlText w:val="•"/>
      <w:lvlJc w:val="left"/>
      <w:pPr>
        <w:ind w:left="6903" w:hanging="275"/>
      </w:pPr>
      <w:rPr>
        <w:rFonts w:hint="default"/>
      </w:rPr>
    </w:lvl>
    <w:lvl w:ilvl="8" w:tplc="9580E3E6">
      <w:start w:val="1"/>
      <w:numFmt w:val="bullet"/>
      <w:lvlText w:val="•"/>
      <w:lvlJc w:val="left"/>
      <w:pPr>
        <w:ind w:left="7873" w:hanging="275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720" w:hanging="360"/>
      </w:pPr>
      <w:rPr>
        <w:rFonts w:hint="default" w:eastAsiaTheme="minorEastAsia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 w:tplc="A426BE7C">
      <w:start w:val="2"/>
      <w:numFmt w:val="decimal"/>
      <w:lvlText w:val="%1."/>
      <w:lvlJc w:val="left"/>
      <w:pPr>
        <w:ind w:left="157" w:hanging="556"/>
      </w:pPr>
      <w:rPr>
        <w:rFonts w:hint="default" w:ascii="Times New Roman" w:hAnsi="Times New Roman" w:eastAsia="Times New Roman"/>
        <w:w w:val="103"/>
        <w:sz w:val="26"/>
        <w:szCs w:val="26"/>
      </w:rPr>
    </w:lvl>
    <w:lvl w:ilvl="1" w:tplc="2358700C">
      <w:start w:val="1"/>
      <w:numFmt w:val="bullet"/>
      <w:lvlText w:val="•"/>
      <w:lvlJc w:val="left"/>
      <w:pPr>
        <w:ind w:left="157" w:hanging="556"/>
      </w:pPr>
      <w:rPr>
        <w:rFonts w:hint="default"/>
      </w:rPr>
    </w:lvl>
    <w:lvl w:ilvl="2" w:tplc="1FBE0D9C">
      <w:start w:val="1"/>
      <w:numFmt w:val="bullet"/>
      <w:lvlText w:val="•"/>
      <w:lvlJc w:val="left"/>
      <w:pPr>
        <w:ind w:left="1225" w:hanging="556"/>
      </w:pPr>
      <w:rPr>
        <w:rFonts w:hint="default"/>
      </w:rPr>
    </w:lvl>
    <w:lvl w:ilvl="3" w:tplc="6E3C59EC">
      <w:start w:val="1"/>
      <w:numFmt w:val="bullet"/>
      <w:lvlText w:val="•"/>
      <w:lvlJc w:val="left"/>
      <w:pPr>
        <w:ind w:left="2294" w:hanging="556"/>
      </w:pPr>
      <w:rPr>
        <w:rFonts w:hint="default"/>
      </w:rPr>
    </w:lvl>
    <w:lvl w:ilvl="4" w:tplc="48DCB6A4">
      <w:start w:val="1"/>
      <w:numFmt w:val="bullet"/>
      <w:lvlText w:val="•"/>
      <w:lvlJc w:val="left"/>
      <w:pPr>
        <w:ind w:left="3362" w:hanging="556"/>
      </w:pPr>
      <w:rPr>
        <w:rFonts w:hint="default"/>
      </w:rPr>
    </w:lvl>
    <w:lvl w:ilvl="5" w:tplc="4FB2ED20">
      <w:start w:val="1"/>
      <w:numFmt w:val="bullet"/>
      <w:lvlText w:val="•"/>
      <w:lvlJc w:val="left"/>
      <w:pPr>
        <w:ind w:left="4430" w:hanging="556"/>
      </w:pPr>
      <w:rPr>
        <w:rFonts w:hint="default"/>
      </w:rPr>
    </w:lvl>
    <w:lvl w:ilvl="6" w:tplc="971448D2">
      <w:start w:val="1"/>
      <w:numFmt w:val="bullet"/>
      <w:lvlText w:val="•"/>
      <w:lvlJc w:val="left"/>
      <w:pPr>
        <w:ind w:left="5498" w:hanging="556"/>
      </w:pPr>
      <w:rPr>
        <w:rFonts w:hint="default"/>
      </w:rPr>
    </w:lvl>
    <w:lvl w:ilvl="7" w:tplc="ED7A0E6E">
      <w:start w:val="1"/>
      <w:numFmt w:val="bullet"/>
      <w:lvlText w:val="•"/>
      <w:lvlJc w:val="left"/>
      <w:pPr>
        <w:ind w:left="6567" w:hanging="556"/>
      </w:pPr>
      <w:rPr>
        <w:rFonts w:hint="default"/>
      </w:rPr>
    </w:lvl>
    <w:lvl w:ilvl="8" w:tplc="012E9D86">
      <w:start w:val="1"/>
      <w:numFmt w:val="bullet"/>
      <w:lvlText w:val="•"/>
      <w:lvlJc w:val="left"/>
      <w:pPr>
        <w:ind w:left="7635" w:hanging="556"/>
      </w:pPr>
      <w:rPr>
        <w:rFonts w:hint="default"/>
      </w:rPr>
    </w:lvl>
  </w:abstractNum>
  <w:abstractNum w:abstractNumId="20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 w:tplc="04190019">
      <w:start w:val="1"/>
      <w:numFmt w:val="lowerLetter"/>
      <w:lvlText w:val="%2."/>
      <w:lvlJc w:val="left"/>
      <w:pPr>
        <w:ind w:left="1440" w:hanging="360"/>
      </w:pPr>
    </w:lvl>
    <w:lvl w:ilvl="2" w:tentative="1" w:tplc="0419001B">
      <w:start w:val="1"/>
      <w:numFmt w:val="lowerRoman"/>
      <w:lvlText w:val="%3."/>
      <w:lvlJc w:val="right"/>
      <w:pPr>
        <w:ind w:left="2160" w:hanging="180"/>
      </w:pPr>
    </w:lvl>
    <w:lvl w:ilvl="3" w:tentative="1" w:tplc="0419000F">
      <w:start w:val="1"/>
      <w:numFmt w:val="decimal"/>
      <w:lvlText w:val="%4."/>
      <w:lvlJc w:val="left"/>
      <w:pPr>
        <w:ind w:left="2880" w:hanging="360"/>
      </w:pPr>
    </w:lvl>
    <w:lvl w:ilvl="4" w:tentative="1" w:tplc="04190019">
      <w:start w:val="1"/>
      <w:numFmt w:val="lowerLetter"/>
      <w:lvlText w:val="%5."/>
      <w:lvlJc w:val="left"/>
      <w:pPr>
        <w:ind w:left="3600" w:hanging="360"/>
      </w:pPr>
    </w:lvl>
    <w:lvl w:ilvl="5" w:tentative="1" w:tplc="0419001B">
      <w:start w:val="1"/>
      <w:numFmt w:val="lowerRoman"/>
      <w:lvlText w:val="%6."/>
      <w:lvlJc w:val="right"/>
      <w:pPr>
        <w:ind w:left="4320" w:hanging="180"/>
      </w:pPr>
    </w:lvl>
    <w:lvl w:ilvl="6" w:tentative="1" w:tplc="0419000F">
      <w:start w:val="1"/>
      <w:numFmt w:val="decimal"/>
      <w:lvlText w:val="%7."/>
      <w:lvlJc w:val="left"/>
      <w:pPr>
        <w:ind w:left="5040" w:hanging="360"/>
      </w:pPr>
    </w:lvl>
    <w:lvl w:ilvl="7" w:tentative="1" w:tplc="04190019">
      <w:start w:val="1"/>
      <w:numFmt w:val="lowerLetter"/>
      <w:lvlText w:val="%8."/>
      <w:lvlJc w:val="left"/>
      <w:pPr>
        <w:ind w:left="5760" w:hanging="360"/>
      </w:pPr>
    </w:lvl>
    <w:lvl w:ilvl="8" w:tentative="1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1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3"/>
  </w:num>
  <w:num w:numId="7">
    <w:abstractNumId w:val="20"/>
  </w:num>
  <w:num w:numId="8">
    <w:abstractNumId w:val="14"/>
  </w:num>
  <w:num w:numId="9">
    <w:abstractNumId w:val="9"/>
  </w:num>
  <w:num w:numId="10">
    <w:abstractNumId w:val="2"/>
  </w:num>
  <w:num w:numId="11">
    <w:abstractNumId w:val="15"/>
  </w:num>
  <w:num w:numId="12">
    <w:abstractNumId w:val="19"/>
  </w:num>
  <w:num w:numId="13">
    <w:abstractNumId w:val="21"/>
  </w:num>
  <w:num w:numId="14">
    <w:abstractNumId w:val="18"/>
  </w:num>
  <w:num w:numId="15">
    <w:abstractNumId w:val="16"/>
  </w:num>
  <w:num w:numId="16">
    <w:abstractNumId w:val="10"/>
  </w:num>
  <w:num w:numId="17">
    <w:abstractNumId w:val="1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 w:val="true"/>
    <w:balanceSingleByteDoubleByteWidth w:val="true"/>
    <w:doNotLeaveBackslashAlone w:val="true"/>
    <w:ulTrailSpace w:val="true"/>
    <w:adjustLineHeightInTable w:val="true"/>
    <w:doNotUseHTMLParagraphAutoSpacing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cs="Times New Roman" w:asciiTheme="minorHAnsi" w:hAnsiTheme="minorHAnsi" w:eastAsiaTheme="minorEastAsia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after="0" w:line="240" w:lineRule="auto"/>
      <w:outlineLvl w:val="0"/>
    </w:pPr>
    <w:rPr>
      <w:rFonts w:ascii="Times New Roman" w:hAnsi="Times New Roman" w:eastAsia="Times New Roman"/>
      <w:sz w:val="28"/>
      <w:szCs w:val="24"/>
      <w:lang w:val="x-none" w:eastAsia="zh-CN"/>
    </w:rPr>
  </w:style>
  <w:style w:type="character" w:styleId="a0" w:default="1">
    <w:name w:val="Default Paragraph Font"/>
    <w:uiPriority w:val="1"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styleId="a4" w:customStyle="1">
    <w:name w:val="Верхний колонтитул Знак"/>
    <w:basedOn w:val="a0"/>
    <w:link w:val="a3"/>
    <w:uiPriority w:val="99"/>
    <w:locked/>
    <w:rPr>
      <w:rFonts w:cs="Times New Roman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styleId="a6" w:customStyle="1">
    <w:name w:val="Нижний колонтитул Знак"/>
    <w:basedOn w:val="a0"/>
    <w:link w:val="a5"/>
    <w:uiPriority w:val="99"/>
    <w:locked/>
    <w:rPr>
      <w:rFonts w:cs="Times New Roman"/>
    </w:rPr>
  </w:style>
  <w:style w:type="paragraph" w:styleId="a7">
    <w:name w:val="footnote text"/>
    <w:basedOn w:val="a"/>
    <w:link w:val="a8"/>
    <w:uiPriority w:val="99"/>
    <w:unhideWhenUsed/>
    <w:rPr>
      <w:sz w:val="20"/>
      <w:szCs w:val="20"/>
    </w:rPr>
  </w:style>
  <w:style w:type="character" w:styleId="a8" w:customStyle="1">
    <w:name w:val="Текст сноски Знак"/>
    <w:basedOn w:val="a0"/>
    <w:link w:val="a7"/>
    <w:uiPriority w:val="99"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Pr>
      <w:rFonts w:cs="Times New Roman"/>
      <w:vertAlign w:val="superscript"/>
    </w:rPr>
  </w:style>
  <w:style w:type="paragraph" w:styleId="ConsPlusNormal" w:customStyle="1">
    <w:name w:val="ConsPlusNormal"/>
    <w:pPr>
      <w:widowControl w:val="off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pPr>
      <w:spacing w:after="0" w:line="240" w:lineRule="auto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b">
    <w:name w:val="List Paragraph"/>
    <w:basedOn w:val="a"/>
    <w:qFormat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d" w:customStyle="1">
    <w:name w:val="Текст выноски Знак"/>
    <w:basedOn w:val="a0"/>
    <w:link w:val="ac"/>
    <w:uiPriority w:val="99"/>
    <w:locked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Pr>
      <w:sz w:val="20"/>
      <w:szCs w:val="20"/>
    </w:rPr>
  </w:style>
  <w:style w:type="character" w:styleId="af0" w:customStyle="1">
    <w:name w:val="Текст примечания Знак"/>
    <w:basedOn w:val="a0"/>
    <w:link w:val="af"/>
    <w:uiPriority w:val="99"/>
    <w:locked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Pr>
      <w:b/>
      <w:bCs/>
    </w:rPr>
  </w:style>
  <w:style w:type="character" w:styleId="af3" w:customStyle="1">
    <w:name w:val="Тема примечания Знак"/>
    <w:basedOn w:val="af0"/>
    <w:link w:val="af2"/>
    <w:uiPriority w:val="99"/>
    <w:semiHidden/>
    <w:locked/>
    <w:rPr>
      <w:rFonts w:cs="Times New Roman"/>
      <w:b/>
      <w:bCs/>
      <w:sz w:val="20"/>
      <w:szCs w:val="20"/>
    </w:rPr>
  </w:style>
  <w:style w:type="table" w:styleId="2" w:customStyle="1">
    <w:name w:val="Сетка таблицы2"/>
    <w:basedOn w:val="a1"/>
    <w:next w:val="aa"/>
    <w:uiPriority w:val="39"/>
    <w:pPr>
      <w:spacing w:after="0" w:line="240" w:lineRule="auto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4" w:customStyle="1">
    <w:name w:val="Сетка таблицы14"/>
    <w:basedOn w:val="a1"/>
    <w:uiPriority w:val="39"/>
    <w:pPr>
      <w:spacing w:after="0" w:line="240" w:lineRule="auto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f4">
    <w:name w:val="page number"/>
    <w:basedOn w:val="a0"/>
    <w:uiPriority w:val="99"/>
    <w:rPr>
      <w:rFonts w:cs="Times New Roman"/>
    </w:rPr>
  </w:style>
  <w:style w:type="character" w:styleId="FontStyle26" w:customStyle="1">
    <w:name w:val="Font Style26"/>
    <w:uiPriority w:val="99"/>
    <w:rPr>
      <w:rFonts w:ascii="Times New Roman" w:hAnsi="Times New Roman"/>
      <w:sz w:val="26"/>
    </w:rPr>
  </w:style>
  <w:style w:type="paragraph" w:styleId="ConsPlusTitle" w:customStyle="1">
    <w:name w:val="ConsPlusTitle"/>
    <w:pPr>
      <w:widowControl w:val="off"/>
      <w:spacing w:after="0" w:line="240" w:lineRule="auto"/>
    </w:pPr>
    <w:rPr>
      <w:rFonts w:ascii="Calibri" w:hAnsi="Calibri" w:cs="Calibri"/>
      <w:b/>
      <w:szCs w:val="20"/>
    </w:rPr>
  </w:style>
  <w:style w:type="paragraph" w:styleId="Default" w:customStyle="1">
    <w:name w:val="Default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ConsPlusTitlePage" w:customStyle="1">
    <w:name w:val="ConsPlusTitlePage"/>
    <w:pPr>
      <w:widowControl w:val="off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pPr>
      <w:numPr>
        <w:ilvl w:val="1"/>
      </w:numPr>
    </w:pPr>
    <w:rPr>
      <w:color w:val="5a5a5a"/>
      <w:spacing w:val="15"/>
      <w:lang w:eastAsia="en-US"/>
    </w:rPr>
  </w:style>
  <w:style w:type="character" w:styleId="af6" w:customStyle="1">
    <w:name w:val="Подзаголовок Знак"/>
    <w:basedOn w:val="a0"/>
    <w:link w:val="af5"/>
    <w:uiPriority w:val="11"/>
    <w:locked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pPr>
      <w:widowControl w:val="off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styleId="af8" w:customStyle="1">
    <w:name w:val="Основной текст Знак"/>
    <w:basedOn w:val="a0"/>
    <w:link w:val="af7"/>
    <w:uiPriority w:val="1"/>
    <w:locked/>
    <w:rPr>
      <w:rFonts w:ascii="Times New Roman" w:hAnsi="Times New Roman" w:cs="Times New Roman"/>
      <w:sz w:val="28"/>
      <w:szCs w:val="28"/>
      <w:lang w:val="x-none" w:eastAsia="en-US"/>
    </w:rPr>
  </w:style>
  <w:style w:type="table" w:styleId="11" w:customStyle="1">
    <w:name w:val="Сетка таблицы1"/>
    <w:basedOn w:val="a1"/>
    <w:next w:val="aa"/>
    <w:uiPriority w:val="39"/>
    <w:pPr>
      <w:spacing w:after="0" w:line="240" w:lineRule="auto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f9">
    <w:name w:val="endnote text"/>
    <w:basedOn w:val="a"/>
    <w:link w:val="afa"/>
    <w:uiPriority w:val="99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styleId="afa" w:customStyle="1">
    <w:name w:val="Текст концевой сноски Знак"/>
    <w:basedOn w:val="a0"/>
    <w:link w:val="af9"/>
    <w:uiPriority w:val="99"/>
    <w:locked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Pr>
      <w:rFonts w:cs="Times New Roman"/>
      <w:vertAlign w:val="superscript"/>
    </w:rPr>
  </w:style>
  <w:style w:type="paragraph" w:styleId="afc">
    <w:name w:val="Normal (Web)"/>
    <w:basedOn w:val="a"/>
    <w:uiPriority w:val="99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styleId="msonormal0" w:customStyle="1">
    <w:name w:val="msonormal"/>
    <w:basedOn w:val="a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paragraph" w:styleId="TableParagraph" w:customStyle="1">
    <w:name w:val="Table Paragraph"/>
    <w:basedOn w:val="a"/>
    <w:uiPriority w:val="1"/>
    <w:qFormat/>
    <w:pPr>
      <w:widowControl w:val="off"/>
      <w:spacing w:after="0" w:line="240" w:lineRule="auto"/>
    </w:pPr>
    <w:rPr>
      <w:rFonts w:eastAsiaTheme="minorHAnsi" w:cstheme="minorBidi"/>
      <w:lang w:val="en-US" w:eastAsia="en-US"/>
    </w:rPr>
  </w:style>
  <w:style w:type="character" w:styleId="10" w:customStyle="1">
    <w:name w:val="Заголовок 1 Знак"/>
    <w:basedOn w:val="a0"/>
    <w:link w:val="1"/>
    <w:rPr>
      <w:rFonts w:ascii="Times New Roman" w:hAnsi="Times New Roman" w:eastAsia="Times New Roman"/>
      <w:sz w:val="28"/>
      <w:szCs w:val="24"/>
      <w:lang w:val="x-none" w:eastAsia="zh-CN"/>
    </w:rPr>
  </w:style>
  <w:style w:type="table" w:styleId="TableNormal" w:customStyle="1">
    <w:name w:val="Table Normal"/>
    <w:uiPriority w:val="2"/>
    <w:semiHidden/>
    <w:unhideWhenUsed/>
    <w:qFormat/>
    <w:pPr>
      <w:widowControl w:val="off"/>
      <w:spacing w:after="0" w:line="240" w:lineRule="auto"/>
    </w:pPr>
    <w:rPr>
      <w:rFonts w:eastAsiaTheme="minorHAnsi" w:cstheme="minorBidi"/>
      <w:lang w:val="en-US" w:eastAsia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3" w:customStyle="1">
    <w:name w:val="Сетка таблицы3"/>
    <w:next w:val="aa"/>
    <w:uiPriority w:val="59"/>
    <w:pPr>
      <w:spacing w:after="0" w:line="240" w:lineRule="auto"/>
    </w:pPr>
    <w:rPr>
      <w:rFonts w:ascii="Times New Roman" w:hAnsi="Times New Roman" w:eastAsia="DejaVu Sans" w:cs="DejaVu Sans"/>
      <w:sz w:val="24"/>
      <w:szCs w:val="24"/>
      <w:lang w:val="en-US" w:eastAsia="zh-CN" w:bidi="hi-I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12" w:customStyle="1">
    <w:name w:val="Нет списка1"/>
    <w:next w:val="a2"/>
    <w:uiPriority w:val="99"/>
    <w:semiHidden/>
    <w:unhideWhenUsed/>
  </w:style>
  <w:style w:type="paragraph" w:styleId="13" w:customStyle="1">
    <w:name w:val="Верхний колонтитул1"/>
    <w:basedOn w:val="a"/>
    <w:next w:val="a3"/>
    <w:uiPriority w:val="99"/>
    <w:unhideWhenUsed/>
    <w:pPr>
      <w:tabs>
        <w:tab w:val="center" w:pos="4677"/>
        <w:tab w:val="right" w:pos="9355"/>
      </w:tabs>
    </w:pPr>
    <w:rPr>
      <w:rFonts w:eastAsiaTheme="minorHAnsi" w:cstheme="minorBidi"/>
      <w:lang w:eastAsia="en-US"/>
    </w:rPr>
  </w:style>
  <w:style w:type="paragraph" w:styleId="15" w:customStyle="1">
    <w:name w:val="Нижний колонтитул1"/>
    <w:basedOn w:val="a"/>
    <w:next w:val="a5"/>
    <w:uiPriority w:val="99"/>
    <w:unhideWhenUsed/>
    <w:pPr>
      <w:tabs>
        <w:tab w:val="center" w:pos="4677"/>
        <w:tab w:val="right" w:pos="9355"/>
      </w:tabs>
    </w:pPr>
    <w:rPr>
      <w:rFonts w:eastAsiaTheme="minorHAnsi" w:cstheme="minorBidi"/>
      <w:lang w:eastAsia="en-US"/>
    </w:rPr>
  </w:style>
  <w:style w:type="paragraph" w:styleId="16" w:customStyle="1">
    <w:name w:val="Текст сноски1"/>
    <w:basedOn w:val="a"/>
    <w:next w:val="a7"/>
    <w:uiPriority w:val="99"/>
    <w:unhideWhenUsed/>
    <w:rPr>
      <w:rFonts w:eastAsiaTheme="minorHAnsi" w:cstheme="minorBidi"/>
      <w:sz w:val="20"/>
      <w:szCs w:val="20"/>
      <w:lang w:eastAsia="en-US"/>
    </w:rPr>
  </w:style>
  <w:style w:type="paragraph" w:styleId="17" w:customStyle="1">
    <w:name w:val="Абзац списка1"/>
    <w:basedOn w:val="a"/>
    <w:next w:val="ab"/>
    <w:qFormat/>
    <w:pPr>
      <w:spacing w:after="200" w:line="276" w:lineRule="auto"/>
      <w:ind w:left="720"/>
      <w:contextualSpacing/>
    </w:pPr>
    <w:rPr>
      <w:rFonts w:eastAsia="Times New Roman"/>
      <w:lang w:eastAsia="en-US"/>
    </w:rPr>
  </w:style>
  <w:style w:type="paragraph" w:styleId="18" w:customStyle="1">
    <w:name w:val="Текст выноски1"/>
    <w:basedOn w:val="a"/>
    <w:next w:val="ac"/>
    <w:uiPriority w:val="99"/>
    <w:unhideWhenUsed/>
    <w:pPr>
      <w:spacing w:after="0" w:line="240" w:lineRule="auto"/>
    </w:pPr>
    <w:rPr>
      <w:rFonts w:ascii="Segoe UI" w:hAnsi="Segoe UI" w:cs="Segoe UI" w:eastAsiaTheme="minorHAnsi"/>
      <w:sz w:val="18"/>
      <w:szCs w:val="18"/>
      <w:lang w:eastAsia="en-US"/>
    </w:rPr>
  </w:style>
  <w:style w:type="paragraph" w:styleId="19" w:customStyle="1">
    <w:name w:val="Текст примечания1"/>
    <w:basedOn w:val="a"/>
    <w:next w:val="af"/>
    <w:uiPriority w:val="99"/>
    <w:unhideWhenUsed/>
    <w:rPr>
      <w:rFonts w:eastAsiaTheme="minorHAnsi" w:cstheme="minorBidi"/>
      <w:sz w:val="20"/>
      <w:szCs w:val="20"/>
      <w:lang w:eastAsia="en-US"/>
    </w:rPr>
  </w:style>
  <w:style w:type="paragraph" w:styleId="1a" w:customStyle="1">
    <w:name w:val="Тема примечания1"/>
    <w:basedOn w:val="af"/>
    <w:next w:val="af"/>
    <w:uiPriority w:val="99"/>
    <w:semiHidden/>
    <w:unhideWhenUsed/>
    <w:rPr>
      <w:rFonts w:eastAsia="Times New Roman"/>
      <w:b/>
      <w:bCs/>
    </w:rPr>
  </w:style>
  <w:style w:type="paragraph" w:styleId="1b" w:customStyle="1">
    <w:name w:val="Подзаголовок1"/>
    <w:basedOn w:val="a"/>
    <w:next w:val="a"/>
    <w:uiPriority w:val="11"/>
    <w:qFormat/>
    <w:pPr>
      <w:numPr>
        <w:ilvl w:val="1"/>
      </w:numPr>
    </w:pPr>
    <w:rPr>
      <w:rFonts w:eastAsia="Times New Roman"/>
      <w:color w:val="5a5a5a"/>
      <w:spacing w:val="15"/>
      <w:lang w:eastAsia="en-US"/>
    </w:rPr>
  </w:style>
  <w:style w:type="paragraph" w:styleId="1c" w:customStyle="1">
    <w:name w:val="Основной текст1"/>
    <w:basedOn w:val="a"/>
    <w:next w:val="af7"/>
    <w:uiPriority w:val="1"/>
    <w:qFormat/>
    <w:pPr>
      <w:widowControl w:val="off"/>
      <w:spacing w:after="0" w:line="240" w:lineRule="auto"/>
      <w:ind w:left="112"/>
    </w:pPr>
    <w:rPr>
      <w:rFonts w:ascii="Times New Roman" w:hAnsi="Times New Roman" w:eastAsiaTheme="minorHAnsi" w:cstheme="minorBidi"/>
      <w:sz w:val="28"/>
      <w:szCs w:val="28"/>
      <w:lang w:eastAsia="en-US"/>
    </w:rPr>
  </w:style>
  <w:style w:type="paragraph" w:styleId="1d" w:customStyle="1">
    <w:name w:val="Текст концевой сноски1"/>
    <w:basedOn w:val="a"/>
    <w:next w:val="af9"/>
    <w:uiPriority w:val="99"/>
    <w:pPr>
      <w:spacing w:after="0" w:line="360" w:lineRule="atLeast"/>
      <w:jc w:val="both"/>
    </w:pPr>
    <w:rPr>
      <w:rFonts w:ascii="Times New Roman" w:hAnsi="Times New Roman" w:eastAsiaTheme="minorHAnsi" w:cstheme="minorBidi"/>
      <w:sz w:val="20"/>
      <w:szCs w:val="20"/>
      <w:lang w:eastAsia="en-US"/>
    </w:rPr>
  </w:style>
  <w:style w:type="paragraph" w:styleId="1e" w:customStyle="1">
    <w:name w:val="Обычный (Интернет)1"/>
    <w:basedOn w:val="a"/>
    <w:next w:val="afc"/>
    <w:uiPriority w:val="99"/>
    <w:pPr>
      <w:spacing w:after="0" w:line="360" w:lineRule="atLeast"/>
      <w:jc w:val="both"/>
    </w:pPr>
    <w:rPr>
      <w:rFonts w:ascii="Times New Roman" w:hAnsi="Times New Roman" w:eastAsia="Times New Roman"/>
      <w:sz w:val="24"/>
      <w:szCs w:val="24"/>
    </w:rPr>
  </w:style>
  <w:style w:type="paragraph" w:styleId="1f" w:customStyle="1">
    <w:name w:val="Рецензия1"/>
    <w:next w:val="afd"/>
    <w:hidden/>
    <w:uiPriority w:val="99"/>
    <w:semiHidden/>
    <w:pPr>
      <w:spacing w:after="0" w:line="240" w:lineRule="auto"/>
    </w:pPr>
    <w:rPr>
      <w:rFonts w:ascii="Times New Roman" w:hAnsi="Times New Roman" w:eastAsia="Times New Roman"/>
      <w:sz w:val="28"/>
      <w:szCs w:val="20"/>
    </w:rPr>
  </w:style>
  <w:style w:type="character" w:styleId="1f0" w:customStyle="1">
    <w:name w:val="Верхний колонтитул Знак1"/>
    <w:basedOn w:val="a0"/>
    <w:uiPriority w:val="99"/>
  </w:style>
  <w:style w:type="character" w:styleId="1f1" w:customStyle="1">
    <w:name w:val="Нижний колонтитул Знак1"/>
    <w:basedOn w:val="a0"/>
    <w:uiPriority w:val="99"/>
  </w:style>
  <w:style w:type="character" w:styleId="1f2" w:customStyle="1">
    <w:name w:val="Текст сноски Знак1"/>
    <w:basedOn w:val="a0"/>
    <w:uiPriority w:val="99"/>
    <w:semiHidden/>
    <w:rPr>
      <w:sz w:val="20"/>
      <w:szCs w:val="20"/>
    </w:rPr>
  </w:style>
  <w:style w:type="character" w:styleId="1f3" w:customStyle="1">
    <w:name w:val="Текст выноски Знак1"/>
    <w:basedOn w:val="a0"/>
    <w:uiPriority w:val="99"/>
    <w:semiHidden/>
    <w:rPr>
      <w:rFonts w:ascii="Segoe UI" w:hAnsi="Segoe UI" w:cs="Segoe UI"/>
      <w:sz w:val="18"/>
      <w:szCs w:val="18"/>
    </w:rPr>
  </w:style>
  <w:style w:type="character" w:styleId="1f4" w:customStyle="1">
    <w:name w:val="Текст примечания Знак1"/>
    <w:basedOn w:val="a0"/>
    <w:uiPriority w:val="99"/>
    <w:semiHidden/>
    <w:rPr>
      <w:sz w:val="20"/>
      <w:szCs w:val="20"/>
    </w:rPr>
  </w:style>
  <w:style w:type="character" w:styleId="1f5" w:customStyle="1">
    <w:name w:val="Тема примечания Знак1"/>
    <w:basedOn w:val="1f4"/>
    <w:uiPriority w:val="99"/>
    <w:semiHidden/>
    <w:rPr>
      <w:b/>
      <w:bCs/>
      <w:sz w:val="20"/>
      <w:szCs w:val="20"/>
    </w:rPr>
  </w:style>
  <w:style w:type="character" w:styleId="1f6" w:customStyle="1">
    <w:name w:val="Подзаголовок Знак1"/>
    <w:basedOn w:val="a0"/>
    <w:uiPriority w:val="11"/>
    <w:rPr>
      <w:rFonts w:eastAsiaTheme="minorEastAsia"/>
      <w:color w:val="5a5a5a" w:themeColor="text1" w:themeTint="A5"/>
      <w:spacing w:val="15"/>
    </w:rPr>
  </w:style>
  <w:style w:type="character" w:styleId="1f7" w:customStyle="1">
    <w:name w:val="Основной текст Знак1"/>
    <w:basedOn w:val="a0"/>
    <w:uiPriority w:val="99"/>
    <w:semiHidden/>
  </w:style>
  <w:style w:type="character" w:styleId="1f8" w:customStyle="1">
    <w:name w:val="Текст концевой сноски Знак1"/>
    <w:basedOn w:val="a0"/>
    <w:uiPriority w:val="99"/>
    <w:semiHidden/>
    <w:rPr>
      <w:sz w:val="20"/>
      <w:szCs w:val="20"/>
    </w:rPr>
  </w:style>
  <w:style w:type="table" w:styleId="4" w:customStyle="1">
    <w:name w:val="Сетка таблицы4"/>
    <w:basedOn w:val="a1"/>
    <w:next w:val="aa"/>
    <w:uiPriority w:val="59"/>
    <w:pPr>
      <w:spacing w:after="0" w:line="240" w:lineRule="auto"/>
    </w:pPr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3A530-81B4-4127-A0BF-C29541E9D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haracters>92499</Characters>
  <CharactersWithSpaces>108509</CharactersWithSpaces>
  <Company/>
  <DocSecurity>0</DocSecurity>
  <HyperlinksChanged>false</HyperlinksChanged>
  <Lines>770</Lines>
  <LinksUpToDate>false</LinksUpToDate>
  <Pages>43</Pages>
  <Paragraphs>217</Paragraphs>
  <ScaleCrop>false</ScaleCrop>
  <SharedDoc>false</SharedDoc>
  <Template>Normal.dotm</Template>
  <TotalTime>307</TotalTime>
  <Words>16227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user</cp:lastModifiedBy>
  <cp:revision>14</cp:revision>
  <cp:lastPrinted>2024-12-23T07:09:00Z</cp:lastPrinted>
  <dcterms:created xsi:type="dcterms:W3CDTF">2024-12-17T12:21:00Z</dcterms:created>
  <dcterms:modified xsi:type="dcterms:W3CDTF">2025-12-16T12:28:00Z</dcterms:modified>
</cp:coreProperties>
</file>